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891D" w14:textId="77777777" w:rsidR="008F29E0" w:rsidRDefault="008F29E0" w:rsidP="00B57351">
      <w:pPr>
        <w:pStyle w:val="Default"/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</w:p>
    <w:p w14:paraId="0EAA6011" w14:textId="77777777" w:rsidR="008F29E0" w:rsidRPr="00B9258D" w:rsidRDefault="008F29E0" w:rsidP="008F29E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9258D">
        <w:rPr>
          <w:rFonts w:ascii="Bookman Old Style" w:hAnsi="Bookman Old Style"/>
          <w:noProof/>
          <w:lang w:eastAsia="it-IT"/>
        </w:rPr>
        <w:drawing>
          <wp:inline distT="0" distB="0" distL="0" distR="0" wp14:anchorId="56746A67" wp14:editId="4B22DE5D">
            <wp:extent cx="619125" cy="923925"/>
            <wp:effectExtent l="0" t="0" r="9525" b="9525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4178F" w14:textId="77777777" w:rsidR="008F29E0" w:rsidRPr="00B9258D" w:rsidRDefault="008F29E0" w:rsidP="008F29E0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E78A94F" w14:textId="07FF4B0C" w:rsidR="008F29E0" w:rsidRPr="00190841" w:rsidRDefault="00A53C31" w:rsidP="00A53C31">
      <w:pPr>
        <w:spacing w:after="0" w:line="252" w:lineRule="auto"/>
        <w:contextualSpacing/>
        <w:rPr>
          <w:rFonts w:ascii="Bookman Old Style" w:hAnsi="Bookman Old Style"/>
          <w:b/>
          <w:bCs/>
          <w:i/>
          <w:iCs/>
          <w:color w:val="000000" w:themeColor="text1"/>
        </w:rPr>
      </w:pPr>
      <w:r w:rsidRPr="00190841">
        <w:rPr>
          <w:rFonts w:ascii="Bookman Old Style" w:hAnsi="Bookman Old Style"/>
          <w:b/>
          <w:bCs/>
          <w:i/>
          <w:iCs/>
          <w:color w:val="000000" w:themeColor="text1"/>
        </w:rPr>
        <w:t>23.12.2022</w:t>
      </w:r>
    </w:p>
    <w:p w14:paraId="4F51CD38" w14:textId="77777777" w:rsidR="00A53C31" w:rsidRPr="00D5746B" w:rsidRDefault="00A53C31" w:rsidP="00A53C31">
      <w:pPr>
        <w:spacing w:after="0" w:line="252" w:lineRule="auto"/>
        <w:contextualSpacing/>
        <w:rPr>
          <w:rFonts w:ascii="Bookman Old Style" w:hAnsi="Bookman Old Style"/>
          <w:color w:val="FF0000"/>
        </w:rPr>
      </w:pPr>
    </w:p>
    <w:p w14:paraId="73622EF0" w14:textId="77777777" w:rsidR="000C07D6" w:rsidRDefault="00D910BD" w:rsidP="00D91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7E47C5">
        <w:rPr>
          <w:rFonts w:ascii="Bookman Old Style" w:hAnsi="Bookman Old Style"/>
          <w:b/>
          <w:bCs/>
          <w:sz w:val="24"/>
          <w:szCs w:val="24"/>
        </w:rPr>
        <w:t>D</w:t>
      </w:r>
      <w:r>
        <w:rPr>
          <w:rFonts w:ascii="Bookman Old Style" w:hAnsi="Bookman Old Style"/>
          <w:b/>
          <w:bCs/>
          <w:sz w:val="24"/>
          <w:szCs w:val="24"/>
        </w:rPr>
        <w:t>dl</w:t>
      </w:r>
      <w:proofErr w:type="spellEnd"/>
      <w:r w:rsidRPr="007E47C5">
        <w:rPr>
          <w:rFonts w:ascii="Bookman Old Style" w:hAnsi="Bookman Old Style"/>
          <w:b/>
          <w:bCs/>
          <w:sz w:val="24"/>
          <w:szCs w:val="24"/>
        </w:rPr>
        <w:t xml:space="preserve"> di conversione del decreto-legge 18 novembre 2022, n.176, recante “</w:t>
      </w:r>
      <w:r w:rsidRPr="007E47C5">
        <w:rPr>
          <w:rFonts w:ascii="Bookman Old Style" w:hAnsi="Bookman Old Style"/>
          <w:b/>
          <w:bCs/>
          <w:i/>
          <w:iCs/>
          <w:sz w:val="24"/>
          <w:szCs w:val="24"/>
        </w:rPr>
        <w:t>Misure urgenti di sostegno nel settore energetico e di finanza pubblica</w:t>
      </w:r>
      <w:r w:rsidRPr="007E47C5">
        <w:rPr>
          <w:rFonts w:ascii="Bookman Old Style" w:hAnsi="Bookman Old Style"/>
          <w:b/>
          <w:bCs/>
          <w:sz w:val="24"/>
          <w:szCs w:val="24"/>
        </w:rPr>
        <w:t>”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335F7BF7" w14:textId="76AA03D6" w:rsidR="008F29E0" w:rsidRPr="0095247F" w:rsidRDefault="00D910BD" w:rsidP="00D91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ItalicMT"/>
          <w:b/>
          <w:bCs/>
        </w:rPr>
      </w:pPr>
      <w:r>
        <w:rPr>
          <w:rFonts w:ascii="Bookman Old Style" w:hAnsi="Bookman Old Style"/>
          <w:b/>
          <w:bCs/>
          <w:sz w:val="24"/>
          <w:szCs w:val="24"/>
        </w:rPr>
        <w:t>cd aiuti quater</w:t>
      </w:r>
    </w:p>
    <w:p w14:paraId="71237B2F" w14:textId="77777777" w:rsidR="008F29E0" w:rsidRPr="0095247F" w:rsidRDefault="008F29E0" w:rsidP="008F29E0">
      <w:pPr>
        <w:spacing w:after="0" w:line="252" w:lineRule="auto"/>
        <w:contextualSpacing/>
        <w:jc w:val="center"/>
        <w:rPr>
          <w:rFonts w:ascii="Bookman Old Style" w:hAnsi="Bookman Old Style" w:cs="TimesNewRomanPS-BoldItalicMT"/>
          <w:b/>
          <w:bCs/>
        </w:rPr>
      </w:pPr>
    </w:p>
    <w:p w14:paraId="7939ACB6" w14:textId="77777777" w:rsidR="008F29E0" w:rsidRPr="0095247F" w:rsidRDefault="008F29E0" w:rsidP="008F29E0">
      <w:pPr>
        <w:spacing w:after="0" w:line="252" w:lineRule="auto"/>
        <w:contextualSpacing/>
        <w:jc w:val="center"/>
        <w:rPr>
          <w:rFonts w:ascii="Bookman Old Style" w:hAnsi="Bookman Old Style" w:cs="TimesNewRomanPS-BoldItalicMT"/>
          <w:b/>
          <w:bCs/>
        </w:rPr>
      </w:pPr>
    </w:p>
    <w:p w14:paraId="34A3BF06" w14:textId="105DCA00" w:rsidR="008F29E0" w:rsidRPr="00D97C17" w:rsidRDefault="008F29E0" w:rsidP="008F29E0">
      <w:pPr>
        <w:spacing w:after="0" w:line="252" w:lineRule="auto"/>
        <w:contextualSpacing/>
        <w:jc w:val="center"/>
        <w:rPr>
          <w:rFonts w:ascii="Bookman Old Style" w:hAnsi="Bookman Old Style" w:cs="TimesNewRomanPS-BoldItalicMT"/>
          <w:b/>
          <w:bCs/>
          <w:color w:val="FF0000"/>
        </w:rPr>
      </w:pPr>
      <w:r w:rsidRPr="00D97C17">
        <w:rPr>
          <w:rFonts w:ascii="Bookman Old Style" w:hAnsi="Bookman Old Style" w:cs="TimesNewRomanPS-BoldItalicMT"/>
          <w:b/>
          <w:bCs/>
          <w:color w:val="FF0000"/>
        </w:rPr>
        <w:t>NOTA SINTETICA</w:t>
      </w:r>
      <w:r>
        <w:rPr>
          <w:rFonts w:ascii="Bookman Old Style" w:hAnsi="Bookman Old Style" w:cs="TimesNewRomanPS-BoldItalicMT"/>
          <w:b/>
          <w:bCs/>
          <w:color w:val="FF0000"/>
        </w:rPr>
        <w:t xml:space="preserve"> </w:t>
      </w:r>
      <w:r w:rsidR="00033EBE">
        <w:rPr>
          <w:rFonts w:ascii="Bookman Old Style" w:hAnsi="Bookman Old Style" w:cs="TimesNewRomanPS-BoldItalicMT"/>
          <w:b/>
          <w:bCs/>
          <w:color w:val="FF0000"/>
        </w:rPr>
        <w:t xml:space="preserve">SUL </w:t>
      </w:r>
      <w:r w:rsidR="00DA6F51">
        <w:rPr>
          <w:rFonts w:ascii="Bookman Old Style" w:hAnsi="Bookman Old Style" w:cs="TimesNewRomanPS-BoldItalicMT"/>
          <w:b/>
          <w:bCs/>
          <w:color w:val="FF0000"/>
        </w:rPr>
        <w:t>TESTO APPROVAT</w:t>
      </w:r>
      <w:r w:rsidR="008907B6">
        <w:rPr>
          <w:rFonts w:ascii="Bookman Old Style" w:hAnsi="Bookman Old Style" w:cs="TimesNewRomanPS-BoldItalicMT"/>
          <w:b/>
          <w:bCs/>
          <w:color w:val="FF0000"/>
        </w:rPr>
        <w:t>O</w:t>
      </w:r>
      <w:r w:rsidR="00DA6F51">
        <w:rPr>
          <w:rFonts w:ascii="Bookman Old Style" w:hAnsi="Bookman Old Style" w:cs="TimesNewRomanPS-BoldItalicMT"/>
          <w:b/>
          <w:bCs/>
          <w:color w:val="FF0000"/>
        </w:rPr>
        <w:t xml:space="preserve"> </w:t>
      </w:r>
      <w:r w:rsidR="00FB33BD">
        <w:rPr>
          <w:rFonts w:ascii="Bookman Old Style" w:hAnsi="Bookman Old Style" w:cs="TimesNewRomanPS-BoldItalicMT"/>
          <w:b/>
          <w:bCs/>
          <w:color w:val="FF0000"/>
        </w:rPr>
        <w:t>DAL</w:t>
      </w:r>
      <w:r w:rsidR="00DA6F51">
        <w:rPr>
          <w:rFonts w:ascii="Bookman Old Style" w:hAnsi="Bookman Old Style" w:cs="TimesNewRomanPS-BoldItalicMT"/>
          <w:b/>
          <w:bCs/>
          <w:color w:val="FF0000"/>
        </w:rPr>
        <w:t xml:space="preserve"> SENATO</w:t>
      </w:r>
    </w:p>
    <w:p w14:paraId="08E41B3B" w14:textId="77777777" w:rsidR="008F29E0" w:rsidRPr="0095247F" w:rsidRDefault="008F29E0" w:rsidP="008F29E0">
      <w:pPr>
        <w:spacing w:after="0" w:line="252" w:lineRule="auto"/>
        <w:contextualSpacing/>
        <w:jc w:val="center"/>
        <w:rPr>
          <w:rFonts w:ascii="Bookman Old Style" w:hAnsi="Bookman Old Style"/>
          <w:b/>
          <w:bCs/>
        </w:rPr>
      </w:pPr>
    </w:p>
    <w:p w14:paraId="31F555F0" w14:textId="77777777" w:rsidR="008F29E0" w:rsidRPr="00B9258D" w:rsidRDefault="008F29E0" w:rsidP="008F29E0">
      <w:pPr>
        <w:spacing w:after="0" w:line="252" w:lineRule="auto"/>
        <w:contextualSpacing/>
        <w:jc w:val="center"/>
        <w:rPr>
          <w:rFonts w:ascii="Bookman Old Style" w:hAnsi="Bookman Old Style"/>
          <w:b/>
          <w:bCs/>
        </w:rPr>
      </w:pPr>
    </w:p>
    <w:p w14:paraId="4D39F52D" w14:textId="764A46C7" w:rsidR="00A371AC" w:rsidRDefault="008F29E0" w:rsidP="008E79FB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  <w:r w:rsidRPr="00E43BA8">
        <w:rPr>
          <w:rFonts w:ascii="Bookman Old Style" w:hAnsi="Bookman Old Style"/>
        </w:rPr>
        <w:t xml:space="preserve">Il </w:t>
      </w:r>
      <w:r w:rsidR="00D910BD" w:rsidRPr="00E43BA8">
        <w:rPr>
          <w:rFonts w:ascii="Bookman Old Style" w:hAnsi="Bookman Old Style"/>
        </w:rPr>
        <w:t>decreto-legge 18 novembre 2022, n.176, recante “</w:t>
      </w:r>
      <w:r w:rsidR="00D910BD" w:rsidRPr="00E43BA8">
        <w:rPr>
          <w:rFonts w:ascii="Bookman Old Style" w:hAnsi="Bookman Old Style"/>
          <w:i/>
          <w:iCs/>
        </w:rPr>
        <w:t>Misure urgenti di sostegno nel settore energetico e di finanza pubblica</w:t>
      </w:r>
      <w:r w:rsidR="00D910BD" w:rsidRPr="00E43BA8">
        <w:rPr>
          <w:rFonts w:ascii="Bookman Old Style" w:hAnsi="Bookman Old Style"/>
        </w:rPr>
        <w:t xml:space="preserve"> </w:t>
      </w:r>
      <w:r w:rsidRPr="00E43BA8">
        <w:rPr>
          <w:rFonts w:ascii="Bookman Old Style" w:hAnsi="Bookman Old Style"/>
        </w:rPr>
        <w:t xml:space="preserve">- cd dl AIUTI </w:t>
      </w:r>
      <w:r w:rsidR="00D910BD" w:rsidRPr="00E43BA8">
        <w:rPr>
          <w:rFonts w:ascii="Bookman Old Style" w:hAnsi="Bookman Old Style"/>
        </w:rPr>
        <w:t>quater</w:t>
      </w:r>
      <w:r w:rsidRPr="00E43BA8">
        <w:rPr>
          <w:rFonts w:ascii="Bookman Old Style" w:hAnsi="Bookman Old Style"/>
        </w:rPr>
        <w:t xml:space="preserve">- </w:t>
      </w:r>
      <w:r w:rsidR="00AD0CBD">
        <w:rPr>
          <w:rFonts w:ascii="Bookman Old Style" w:hAnsi="Bookman Old Style"/>
        </w:rPr>
        <w:t xml:space="preserve">è stato </w:t>
      </w:r>
      <w:r w:rsidR="00D910BD" w:rsidRPr="00E43BA8">
        <w:rPr>
          <w:rFonts w:ascii="Bookman Old Style" w:hAnsi="Bookman Old Style"/>
        </w:rPr>
        <w:t xml:space="preserve">approvato </w:t>
      </w:r>
      <w:r w:rsidR="008E79FB">
        <w:rPr>
          <w:rFonts w:ascii="Bookman Old Style" w:hAnsi="Bookman Old Style"/>
        </w:rPr>
        <w:t xml:space="preserve">il 16 dicembre </w:t>
      </w:r>
      <w:r w:rsidR="00D910BD" w:rsidRPr="00E43BA8">
        <w:rPr>
          <w:rFonts w:ascii="Bookman Old Style" w:hAnsi="Bookman Old Style"/>
        </w:rPr>
        <w:t xml:space="preserve">dalla </w:t>
      </w:r>
      <w:r w:rsidR="00E43BA8">
        <w:rPr>
          <w:rFonts w:ascii="Bookman Old Style" w:hAnsi="Bookman Old Style"/>
        </w:rPr>
        <w:t>c</w:t>
      </w:r>
      <w:r w:rsidR="00D910BD" w:rsidRPr="00E43BA8">
        <w:rPr>
          <w:rFonts w:ascii="Bookman Old Style" w:hAnsi="Bookman Old Style"/>
        </w:rPr>
        <w:t>ommission</w:t>
      </w:r>
      <w:r w:rsidR="00893C57" w:rsidRPr="00E43BA8">
        <w:rPr>
          <w:rFonts w:ascii="Bookman Old Style" w:hAnsi="Bookman Old Style"/>
        </w:rPr>
        <w:t>e</w:t>
      </w:r>
      <w:r w:rsidR="00D910BD" w:rsidRPr="00E43BA8">
        <w:rPr>
          <w:rFonts w:ascii="Bookman Old Style" w:hAnsi="Bookman Old Style"/>
        </w:rPr>
        <w:t xml:space="preserve"> bil</w:t>
      </w:r>
      <w:r w:rsidR="00893C57" w:rsidRPr="00E43BA8">
        <w:rPr>
          <w:rFonts w:ascii="Bookman Old Style" w:hAnsi="Bookman Old Style"/>
        </w:rPr>
        <w:t>a</w:t>
      </w:r>
      <w:r w:rsidR="00D910BD" w:rsidRPr="00E43BA8">
        <w:rPr>
          <w:rFonts w:ascii="Bookman Old Style" w:hAnsi="Bookman Old Style"/>
        </w:rPr>
        <w:t xml:space="preserve">ncio del </w:t>
      </w:r>
      <w:r w:rsidR="00E43BA8">
        <w:rPr>
          <w:rFonts w:ascii="Bookman Old Style" w:hAnsi="Bookman Old Style"/>
        </w:rPr>
        <w:t>S</w:t>
      </w:r>
      <w:r w:rsidR="00D910BD" w:rsidRPr="00E43BA8">
        <w:rPr>
          <w:rFonts w:ascii="Bookman Old Style" w:hAnsi="Bookman Old Style"/>
        </w:rPr>
        <w:t>enato</w:t>
      </w:r>
      <w:r w:rsidR="00FB33BD">
        <w:rPr>
          <w:rFonts w:ascii="Bookman Old Style" w:hAnsi="Bookman Old Style"/>
        </w:rPr>
        <w:t xml:space="preserve"> e poi dal</w:t>
      </w:r>
      <w:r w:rsidR="006B79E0">
        <w:rPr>
          <w:rFonts w:ascii="Bookman Old Style" w:hAnsi="Bookman Old Style"/>
        </w:rPr>
        <w:t>l’Aula con voto di fiducia il</w:t>
      </w:r>
      <w:r w:rsidR="00FB33BD">
        <w:rPr>
          <w:rFonts w:ascii="Bookman Old Style" w:hAnsi="Bookman Old Style"/>
        </w:rPr>
        <w:t xml:space="preserve"> 21 dicembre u.s</w:t>
      </w:r>
      <w:r w:rsidR="00AD0CBD">
        <w:rPr>
          <w:rFonts w:ascii="Bookman Old Style" w:hAnsi="Bookman Old Style"/>
        </w:rPr>
        <w:t>.</w:t>
      </w:r>
    </w:p>
    <w:p w14:paraId="001C3D9D" w14:textId="5A7C0C78" w:rsidR="008F29E0" w:rsidRDefault="00A371AC" w:rsidP="00A4567E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provvedimento deve andare in seconda lettura </w:t>
      </w:r>
      <w:r w:rsidR="00735138">
        <w:rPr>
          <w:rFonts w:ascii="Bookman Old Style" w:hAnsi="Bookman Old Style"/>
        </w:rPr>
        <w:t>alla Camera dei deputati.</w:t>
      </w:r>
      <w:r w:rsidR="00A4567E">
        <w:rPr>
          <w:rFonts w:ascii="Bookman Old Style" w:hAnsi="Bookman Old Style"/>
        </w:rPr>
        <w:t xml:space="preserve"> </w:t>
      </w:r>
      <w:r w:rsidR="008F29E0" w:rsidRPr="00E43BA8">
        <w:rPr>
          <w:rFonts w:ascii="Bookman Old Style" w:hAnsi="Bookman Old Style"/>
        </w:rPr>
        <w:t xml:space="preserve">Di seguito una </w:t>
      </w:r>
      <w:r w:rsidR="00E43BA8" w:rsidRPr="00E43BA8">
        <w:rPr>
          <w:rFonts w:ascii="Bookman Old Style" w:hAnsi="Bookman Old Style"/>
        </w:rPr>
        <w:t xml:space="preserve">breve nota con </w:t>
      </w:r>
      <w:r w:rsidR="00236E6E">
        <w:rPr>
          <w:rFonts w:ascii="Bookman Old Style" w:hAnsi="Bookman Old Style"/>
        </w:rPr>
        <w:t xml:space="preserve">le norme di rilievo </w:t>
      </w:r>
      <w:r w:rsidR="009679F5">
        <w:rPr>
          <w:rFonts w:ascii="Bookman Old Style" w:hAnsi="Bookman Old Style"/>
        </w:rPr>
        <w:t>per gli enti locali</w:t>
      </w:r>
      <w:r w:rsidR="008F29E0" w:rsidRPr="00E43BA8">
        <w:rPr>
          <w:rFonts w:ascii="Bookman Old Style" w:hAnsi="Bookman Old Style"/>
        </w:rPr>
        <w:t>.</w:t>
      </w:r>
    </w:p>
    <w:p w14:paraId="0A28F73E" w14:textId="77777777" w:rsidR="000E76F1" w:rsidRPr="00E43BA8" w:rsidRDefault="000E76F1" w:rsidP="00E43BA8">
      <w:pPr>
        <w:autoSpaceDE w:val="0"/>
        <w:autoSpaceDN w:val="0"/>
        <w:spacing w:after="0" w:line="240" w:lineRule="auto"/>
        <w:rPr>
          <w:rFonts w:ascii="Bookman Old Style" w:hAnsi="Bookman Old Style"/>
        </w:rPr>
      </w:pPr>
    </w:p>
    <w:p w14:paraId="4DFF425F" w14:textId="77777777" w:rsidR="008F29E0" w:rsidRPr="00E43BA8" w:rsidRDefault="008F29E0" w:rsidP="00E43BA8">
      <w:pPr>
        <w:pStyle w:val="Default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</w:p>
    <w:p w14:paraId="26BCB954" w14:textId="3C67181F" w:rsidR="00AB06CA" w:rsidRPr="00015698" w:rsidRDefault="003D030D" w:rsidP="000E76F1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015698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Misure per il caro bollette (Art</w:t>
      </w:r>
      <w:r w:rsidR="00E47FCB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.</w:t>
      </w:r>
      <w:r w:rsidRPr="00015698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3-bis, comma 1)</w:t>
      </w:r>
    </w:p>
    <w:p w14:paraId="2C51C15C" w14:textId="3DE443E6" w:rsidR="00AB06CA" w:rsidRPr="00B2628F" w:rsidRDefault="00A776CA" w:rsidP="00B57351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B2628F">
        <w:rPr>
          <w:rFonts w:ascii="Bookman Old Style" w:hAnsi="Bookman Old Style"/>
          <w:color w:val="auto"/>
          <w:sz w:val="22"/>
          <w:szCs w:val="22"/>
        </w:rPr>
        <w:t xml:space="preserve">Con emendamento del Governo è stato </w:t>
      </w:r>
      <w:r w:rsidR="00AB06CA" w:rsidRPr="00B2628F">
        <w:rPr>
          <w:rFonts w:ascii="Bookman Old Style" w:hAnsi="Bookman Old Style"/>
          <w:color w:val="auto"/>
          <w:sz w:val="22"/>
          <w:szCs w:val="22"/>
        </w:rPr>
        <w:t xml:space="preserve">trasfuso in questo </w:t>
      </w:r>
      <w:r w:rsidRPr="00B2628F">
        <w:rPr>
          <w:rFonts w:ascii="Bookman Old Style" w:hAnsi="Bookman Old Style"/>
          <w:color w:val="auto"/>
          <w:sz w:val="22"/>
          <w:szCs w:val="22"/>
        </w:rPr>
        <w:t>provvedimento</w:t>
      </w:r>
      <w:r w:rsidR="00AB06CA" w:rsidRPr="00B2628F">
        <w:rPr>
          <w:rFonts w:ascii="Bookman Old Style" w:hAnsi="Bookman Old Style"/>
          <w:color w:val="auto"/>
          <w:sz w:val="22"/>
          <w:szCs w:val="22"/>
        </w:rPr>
        <w:t xml:space="preserve"> il contenuto del </w:t>
      </w:r>
      <w:proofErr w:type="spellStart"/>
      <w:r w:rsidR="00AB06CA" w:rsidRPr="00B2628F">
        <w:rPr>
          <w:rFonts w:ascii="Bookman Old Style" w:hAnsi="Bookman Old Style"/>
          <w:color w:val="auto"/>
          <w:sz w:val="22"/>
          <w:szCs w:val="22"/>
        </w:rPr>
        <w:t>d.l.</w:t>
      </w:r>
      <w:proofErr w:type="spellEnd"/>
      <w:r w:rsidR="00AB06CA" w:rsidRPr="00B2628F">
        <w:rPr>
          <w:rFonts w:ascii="Bookman Old Style" w:hAnsi="Bookman Old Style"/>
          <w:color w:val="auto"/>
          <w:sz w:val="22"/>
          <w:szCs w:val="22"/>
        </w:rPr>
        <w:t xml:space="preserve"> 179</w:t>
      </w:r>
      <w:r w:rsidRPr="00B2628F">
        <w:rPr>
          <w:rFonts w:ascii="Bookman Old Style" w:hAnsi="Bookman Old Style"/>
          <w:color w:val="auto"/>
          <w:sz w:val="22"/>
          <w:szCs w:val="22"/>
        </w:rPr>
        <w:t xml:space="preserve"> (</w:t>
      </w:r>
      <w:r w:rsidR="00CF4C58" w:rsidRPr="00B2628F">
        <w:rPr>
          <w:rFonts w:ascii="Bookman Old Style" w:hAnsi="Bookman Old Style"/>
          <w:color w:val="auto"/>
          <w:sz w:val="22"/>
          <w:szCs w:val="22"/>
        </w:rPr>
        <w:t xml:space="preserve">cd </w:t>
      </w:r>
      <w:proofErr w:type="spellStart"/>
      <w:r w:rsidR="00CF4C58" w:rsidRPr="00B2628F">
        <w:rPr>
          <w:rFonts w:ascii="Bookman Old Style" w:hAnsi="Bookman Old Style"/>
          <w:color w:val="auto"/>
          <w:sz w:val="22"/>
          <w:szCs w:val="22"/>
        </w:rPr>
        <w:t>d.l.</w:t>
      </w:r>
      <w:proofErr w:type="spellEnd"/>
      <w:r w:rsidR="00CF4C58" w:rsidRPr="00B2628F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B2628F">
        <w:rPr>
          <w:rFonts w:ascii="Bookman Old Style" w:hAnsi="Bookman Old Style"/>
          <w:color w:val="auto"/>
          <w:sz w:val="22"/>
          <w:szCs w:val="22"/>
        </w:rPr>
        <w:t xml:space="preserve">accise) </w:t>
      </w:r>
      <w:r w:rsidR="00186D7E" w:rsidRPr="00B2628F">
        <w:rPr>
          <w:rFonts w:ascii="Bookman Old Style" w:hAnsi="Bookman Old Style"/>
          <w:color w:val="auto"/>
          <w:sz w:val="22"/>
          <w:szCs w:val="22"/>
        </w:rPr>
        <w:t xml:space="preserve">che </w:t>
      </w:r>
      <w:r w:rsidR="001A0D26" w:rsidRPr="00B2628F">
        <w:rPr>
          <w:rFonts w:ascii="Bookman Old Style" w:hAnsi="Bookman Old Style"/>
          <w:color w:val="auto"/>
          <w:sz w:val="22"/>
          <w:szCs w:val="22"/>
        </w:rPr>
        <w:t>incrementa di</w:t>
      </w:r>
      <w:r w:rsidR="00162DFC" w:rsidRPr="00B2628F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AB06CA" w:rsidRPr="00B2628F">
        <w:rPr>
          <w:rFonts w:ascii="Bookman Old Style" w:hAnsi="Bookman Old Style"/>
          <w:color w:val="auto"/>
          <w:sz w:val="22"/>
          <w:szCs w:val="22"/>
        </w:rPr>
        <w:t xml:space="preserve">150 milioni di euro, </w:t>
      </w:r>
      <w:r w:rsidR="008C1D8E" w:rsidRPr="00B2628F">
        <w:rPr>
          <w:rFonts w:ascii="Bookman Old Style" w:hAnsi="Bookman Old Style"/>
          <w:color w:val="auto"/>
          <w:sz w:val="22"/>
          <w:szCs w:val="22"/>
        </w:rPr>
        <w:t>di cui</w:t>
      </w:r>
      <w:r w:rsidR="00AB06CA" w:rsidRPr="00B2628F">
        <w:rPr>
          <w:rFonts w:ascii="Bookman Old Style" w:hAnsi="Bookman Old Style"/>
          <w:color w:val="auto"/>
          <w:sz w:val="22"/>
          <w:szCs w:val="22"/>
        </w:rPr>
        <w:t xml:space="preserve"> 130 milioni di euro in favore dei comuni e 20 milioni di euro in favore delle città metropolitane e delle province </w:t>
      </w:r>
      <w:r w:rsidR="003D030D" w:rsidRPr="00B2628F">
        <w:rPr>
          <w:rFonts w:ascii="Bookman Old Style" w:hAnsi="Bookman Old Style"/>
          <w:color w:val="auto"/>
          <w:sz w:val="22"/>
          <w:szCs w:val="22"/>
        </w:rPr>
        <w:t xml:space="preserve">il contributo </w:t>
      </w:r>
      <w:r w:rsidR="003D030D" w:rsidRPr="00B2628F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straordinario </w:t>
      </w:r>
      <w:r w:rsidR="009C769B" w:rsidRPr="00B2628F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previsto dal </w:t>
      </w:r>
      <w:proofErr w:type="spellStart"/>
      <w:r w:rsidR="00B57351" w:rsidRPr="00B2628F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>d.l.</w:t>
      </w:r>
      <w:proofErr w:type="spellEnd"/>
      <w:r w:rsidR="00B57351" w:rsidRPr="00B2628F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 energia</w:t>
      </w:r>
      <w:r w:rsidR="00CB047B" w:rsidRPr="00B2628F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 (</w:t>
      </w:r>
      <w:proofErr w:type="spellStart"/>
      <w:r w:rsidR="00CB047B" w:rsidRPr="00B2628F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>d.l.</w:t>
      </w:r>
      <w:proofErr w:type="spellEnd"/>
      <w:r w:rsidR="00CB047B" w:rsidRPr="00B2628F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 17/2022</w:t>
      </w:r>
      <w:r w:rsidR="00B57351" w:rsidRPr="00B2628F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>)</w:t>
      </w:r>
      <w:r w:rsidR="003D030D" w:rsidRPr="00B2628F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 per garantire la continuità dei servizi erogati dagli enti locali a causa del caro bollette</w:t>
      </w:r>
      <w:r w:rsidR="00AB06CA" w:rsidRPr="00B2628F">
        <w:rPr>
          <w:rFonts w:ascii="Bookman Old Style" w:hAnsi="Bookman Old Style"/>
          <w:color w:val="auto"/>
          <w:sz w:val="22"/>
          <w:szCs w:val="22"/>
        </w:rPr>
        <w:t>. Si segnala altresì che nella Conferenza Stato Città del 13 dicembre scorso c’è stata l’Intesa per la ripartizione di tale fondo.</w:t>
      </w:r>
    </w:p>
    <w:p w14:paraId="7EC5B1E3" w14:textId="01463AE5" w:rsidR="003D030D" w:rsidRPr="00015698" w:rsidRDefault="003D030D" w:rsidP="00B57351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p w14:paraId="7DAEDB17" w14:textId="72DD7D09" w:rsidR="003D030D" w:rsidRPr="00015698" w:rsidRDefault="003D030D" w:rsidP="000E76F1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015698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Misure per il trasporto pubblico locale e regionale </w:t>
      </w:r>
      <w:r w:rsidR="00B57351" w:rsidRPr="00015698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(</w:t>
      </w:r>
      <w:r w:rsidRPr="00015698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Art</w:t>
      </w:r>
      <w:r w:rsidR="00E47FCB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.</w:t>
      </w:r>
      <w:r w:rsidRPr="00015698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3-bis, commi 2 e 3</w:t>
      </w:r>
      <w:r w:rsidR="00B57351" w:rsidRPr="00015698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)</w:t>
      </w:r>
    </w:p>
    <w:p w14:paraId="6BF887DF" w14:textId="56395382" w:rsidR="00B57351" w:rsidRPr="000E76F1" w:rsidRDefault="00C76776" w:rsidP="4B2BD245">
      <w:pPr>
        <w:pStyle w:val="NormaleWeb"/>
        <w:shd w:val="clear" w:color="auto" w:fill="FFFFFF" w:themeFill="background1"/>
        <w:spacing w:before="30" w:after="30"/>
        <w:ind w:left="30"/>
        <w:jc w:val="both"/>
        <w:rPr>
          <w:rFonts w:ascii="Bookman Old Style" w:eastAsia="Times New Roman" w:hAnsi="Bookman Old Style"/>
          <w:color w:val="000000"/>
          <w:sz w:val="22"/>
          <w:szCs w:val="22"/>
          <w:lang w:eastAsia="it-IT"/>
        </w:rPr>
      </w:pPr>
      <w:r>
        <w:rPr>
          <w:rFonts w:ascii="Bookman Old Style" w:hAnsi="Bookman Old Style"/>
          <w:color w:val="2A2928"/>
          <w:sz w:val="22"/>
          <w:szCs w:val="22"/>
        </w:rPr>
        <w:t xml:space="preserve">Con emendamento del Governo </w:t>
      </w:r>
      <w:r w:rsidR="001673AF">
        <w:rPr>
          <w:rFonts w:ascii="Bookman Old Style" w:hAnsi="Bookman Old Style"/>
          <w:color w:val="2A2928"/>
          <w:sz w:val="22"/>
          <w:szCs w:val="22"/>
        </w:rPr>
        <w:t xml:space="preserve">è stato </w:t>
      </w:r>
      <w:r w:rsidR="001673AF" w:rsidRPr="00015698">
        <w:rPr>
          <w:rFonts w:ascii="Bookman Old Style" w:hAnsi="Bookman Old Style"/>
          <w:color w:val="2A2928"/>
          <w:sz w:val="22"/>
          <w:szCs w:val="22"/>
        </w:rPr>
        <w:t xml:space="preserve">trasfuso in questo </w:t>
      </w:r>
      <w:r w:rsidR="001673AF">
        <w:rPr>
          <w:rFonts w:ascii="Bookman Old Style" w:hAnsi="Bookman Old Style"/>
          <w:color w:val="2A2928"/>
          <w:sz w:val="22"/>
          <w:szCs w:val="22"/>
        </w:rPr>
        <w:t>provvedimento</w:t>
      </w:r>
      <w:r w:rsidR="001673AF" w:rsidRPr="00015698">
        <w:rPr>
          <w:rFonts w:ascii="Bookman Old Style" w:hAnsi="Bookman Old Style"/>
          <w:color w:val="2A2928"/>
          <w:sz w:val="22"/>
          <w:szCs w:val="22"/>
        </w:rPr>
        <w:t xml:space="preserve"> il contenuto</w:t>
      </w:r>
      <w:r w:rsidR="001673AF" w:rsidRPr="001673AF">
        <w:rPr>
          <w:rFonts w:ascii="Bookman Old Style" w:hAnsi="Bookman Old Style"/>
          <w:color w:val="2A2928"/>
          <w:sz w:val="22"/>
          <w:szCs w:val="22"/>
        </w:rPr>
        <w:t xml:space="preserve"> </w:t>
      </w:r>
      <w:r w:rsidR="001673AF">
        <w:rPr>
          <w:rFonts w:ascii="Bookman Old Style" w:hAnsi="Bookman Old Style"/>
          <w:color w:val="2A2928"/>
          <w:sz w:val="22"/>
          <w:szCs w:val="22"/>
        </w:rPr>
        <w:t xml:space="preserve">del </w:t>
      </w:r>
      <w:proofErr w:type="spellStart"/>
      <w:r w:rsidR="001673AF" w:rsidRPr="00015698">
        <w:rPr>
          <w:rFonts w:ascii="Bookman Old Style" w:hAnsi="Bookman Old Style"/>
          <w:color w:val="2A2928"/>
          <w:sz w:val="22"/>
          <w:szCs w:val="22"/>
        </w:rPr>
        <w:t>d.l.</w:t>
      </w:r>
      <w:proofErr w:type="spellEnd"/>
      <w:r w:rsidR="001673AF" w:rsidRPr="00015698">
        <w:rPr>
          <w:rFonts w:ascii="Bookman Old Style" w:hAnsi="Bookman Old Style"/>
          <w:color w:val="2A2928"/>
          <w:sz w:val="22"/>
          <w:szCs w:val="22"/>
        </w:rPr>
        <w:t xml:space="preserve"> 179</w:t>
      </w:r>
      <w:r w:rsidR="001673AF">
        <w:rPr>
          <w:rFonts w:ascii="Bookman Old Style" w:hAnsi="Bookman Old Style"/>
          <w:color w:val="2A2928"/>
          <w:sz w:val="22"/>
          <w:szCs w:val="22"/>
        </w:rPr>
        <w:t xml:space="preserve"> (</w:t>
      </w:r>
      <w:r w:rsidR="00CF4C58">
        <w:rPr>
          <w:rFonts w:ascii="Bookman Old Style" w:hAnsi="Bookman Old Style"/>
          <w:color w:val="2A2928"/>
          <w:sz w:val="22"/>
          <w:szCs w:val="22"/>
        </w:rPr>
        <w:t xml:space="preserve">cd </w:t>
      </w:r>
      <w:proofErr w:type="spellStart"/>
      <w:r w:rsidR="00CF4C58">
        <w:rPr>
          <w:rFonts w:ascii="Bookman Old Style" w:hAnsi="Bookman Old Style"/>
          <w:color w:val="2A2928"/>
          <w:sz w:val="22"/>
          <w:szCs w:val="22"/>
        </w:rPr>
        <w:t>d.l.</w:t>
      </w:r>
      <w:proofErr w:type="spellEnd"/>
      <w:r w:rsidR="001673AF">
        <w:rPr>
          <w:rFonts w:ascii="Bookman Old Style" w:hAnsi="Bookman Old Style"/>
          <w:color w:val="2A2928"/>
          <w:sz w:val="22"/>
          <w:szCs w:val="22"/>
        </w:rPr>
        <w:t xml:space="preserve"> accise)</w:t>
      </w:r>
      <w:r w:rsidR="001673AF" w:rsidRPr="00015698">
        <w:rPr>
          <w:rFonts w:ascii="Bookman Old Style" w:hAnsi="Bookman Old Style"/>
          <w:color w:val="2A2928"/>
          <w:sz w:val="22"/>
          <w:szCs w:val="22"/>
        </w:rPr>
        <w:t xml:space="preserve"> </w:t>
      </w:r>
      <w:r w:rsidR="001673AF">
        <w:rPr>
          <w:rFonts w:ascii="Bookman Old Style" w:hAnsi="Bookman Old Style"/>
          <w:sz w:val="22"/>
          <w:szCs w:val="22"/>
          <w:shd w:val="clear" w:color="auto" w:fill="FFFFFF"/>
        </w:rPr>
        <w:t>con il quale</w:t>
      </w:r>
      <w:r w:rsidR="003D030D" w:rsidRPr="000E76F1">
        <w:rPr>
          <w:rFonts w:ascii="Bookman Old Style" w:hAnsi="Bookman Old Style"/>
          <w:sz w:val="22"/>
          <w:szCs w:val="22"/>
          <w:shd w:val="clear" w:color="auto" w:fill="FFFFFF"/>
        </w:rPr>
        <w:t xml:space="preserve"> vengono assegnati</w:t>
      </w:r>
      <w:r w:rsidR="003D030D" w:rsidRPr="000E76F1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 ulteriori 320 milioni di euro per l’anno in corso al fondo istituito dall’articolo 9, comma 1, del decreto-legge n. 115 del 2022 (c.d. aiuti </w:t>
      </w:r>
      <w:r w:rsidR="003D030D" w:rsidRPr="4B2BD245">
        <w:rPr>
          <w:rFonts w:ascii="Bookman Old Style" w:hAnsi="Bookman Old Style"/>
          <w:i/>
          <w:iCs/>
          <w:color w:val="000000"/>
          <w:sz w:val="22"/>
          <w:szCs w:val="22"/>
          <w:shd w:val="clear" w:color="auto" w:fill="FFFFFF"/>
        </w:rPr>
        <w:t>bis</w:t>
      </w:r>
      <w:r w:rsidR="003D030D" w:rsidRPr="000E76F1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) per sostenere il settore del trasporto pubblico locale e regionale a fronte degli eccezionali aumenti dei prezzi dell’energia elettrica e del carburante dovuti alla crisi internazionale in atto.</w:t>
      </w:r>
      <w:r w:rsidR="00B57351" w:rsidRPr="000E76F1">
        <w:rPr>
          <w:rFonts w:ascii="Bookman Old Style" w:eastAsia="Times New Roman" w:hAnsi="Bookman Old Style"/>
          <w:sz w:val="22"/>
          <w:szCs w:val="22"/>
          <w:lang w:eastAsia="it-IT"/>
        </w:rPr>
        <w:t xml:space="preserve"> </w:t>
      </w:r>
    </w:p>
    <w:p w14:paraId="7E4E062E" w14:textId="6716CF26" w:rsidR="003D030D" w:rsidRDefault="003D030D" w:rsidP="00AB06CA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p w14:paraId="4A167140" w14:textId="77777777" w:rsidR="003D115E" w:rsidRPr="00015698" w:rsidRDefault="003D115E" w:rsidP="00AB06CA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p w14:paraId="256FD16F" w14:textId="5D9D03CF" w:rsidR="00B57351" w:rsidRPr="00015698" w:rsidRDefault="00B57351" w:rsidP="00E47FCB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015698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Misure straordinarie in favore degli enti locali relative alla spesa per utenze di energia elettrica e gas (</w:t>
      </w:r>
      <w:r w:rsidR="00E47FCB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A</w:t>
      </w:r>
      <w:r w:rsidRPr="00015698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rt. 3 ter)</w:t>
      </w:r>
    </w:p>
    <w:p w14:paraId="7115D68B" w14:textId="7DFCD8E4" w:rsidR="00B57351" w:rsidRDefault="00833969" w:rsidP="00AB06CA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  <w:r w:rsidRPr="4B2BD245">
        <w:rPr>
          <w:rFonts w:ascii="Bookman Old Style" w:hAnsi="Bookman Old Style"/>
          <w:color w:val="2A2928"/>
          <w:sz w:val="22"/>
          <w:szCs w:val="22"/>
        </w:rPr>
        <w:t>I</w:t>
      </w:r>
      <w:r w:rsidR="00B57351" w:rsidRPr="4B2BD245">
        <w:rPr>
          <w:rFonts w:ascii="Bookman Old Style" w:hAnsi="Bookman Old Style"/>
          <w:color w:val="2A2928"/>
          <w:sz w:val="22"/>
          <w:szCs w:val="22"/>
        </w:rPr>
        <w:t xml:space="preserve">n considerazione della situazione straordinaria di emergenza determinatasi relativamente alla spesa per utenze di energia elettrica e gas, </w:t>
      </w:r>
      <w:r w:rsidRPr="4B2BD245">
        <w:rPr>
          <w:rFonts w:ascii="Bookman Old Style" w:hAnsi="Bookman Old Style"/>
          <w:color w:val="2A2928"/>
          <w:sz w:val="22"/>
          <w:szCs w:val="22"/>
        </w:rPr>
        <w:t xml:space="preserve">la norma </w:t>
      </w:r>
      <w:r w:rsidR="00B57351" w:rsidRPr="4B2BD245">
        <w:rPr>
          <w:rFonts w:ascii="Bookman Old Style" w:hAnsi="Bookman Old Style"/>
          <w:color w:val="2A2928"/>
          <w:sz w:val="22"/>
          <w:szCs w:val="22"/>
        </w:rPr>
        <w:t xml:space="preserve">consente </w:t>
      </w:r>
      <w:r w:rsidR="00B57351" w:rsidRPr="4B2BD245">
        <w:rPr>
          <w:rFonts w:ascii="Bookman Old Style" w:hAnsi="Bookman Old Style"/>
          <w:color w:val="2A2928"/>
          <w:sz w:val="22"/>
          <w:szCs w:val="22"/>
          <w:u w:val="single"/>
        </w:rPr>
        <w:t xml:space="preserve">di non applicare agli enti locali </w:t>
      </w:r>
      <w:r w:rsidR="006823E8" w:rsidRPr="4B2BD245">
        <w:rPr>
          <w:rFonts w:ascii="Bookman Old Style" w:hAnsi="Bookman Old Style"/>
          <w:color w:val="2A2928"/>
          <w:sz w:val="22"/>
          <w:szCs w:val="22"/>
          <w:u w:val="single"/>
        </w:rPr>
        <w:t xml:space="preserve">strutturalmente deficitari e quindi soggetti ai controlli centrali </w:t>
      </w:r>
      <w:r w:rsidR="00B57351" w:rsidRPr="4B2BD245">
        <w:rPr>
          <w:rFonts w:ascii="Bookman Old Style" w:hAnsi="Bookman Old Style"/>
          <w:color w:val="2A2928"/>
          <w:sz w:val="22"/>
          <w:szCs w:val="22"/>
          <w:u w:val="single"/>
        </w:rPr>
        <w:t>le sanzion</w:t>
      </w:r>
      <w:r w:rsidR="00B57351" w:rsidRPr="4B2BD245">
        <w:rPr>
          <w:rFonts w:ascii="Bookman Old Style" w:hAnsi="Bookman Old Style"/>
          <w:color w:val="2A2928"/>
          <w:sz w:val="22"/>
          <w:szCs w:val="22"/>
        </w:rPr>
        <w:t xml:space="preserve">i </w:t>
      </w:r>
      <w:r w:rsidR="006823E8" w:rsidRPr="4B2BD245">
        <w:rPr>
          <w:rFonts w:ascii="Bookman Old Style" w:hAnsi="Bookman Old Style"/>
          <w:color w:val="2A2928"/>
          <w:sz w:val="22"/>
          <w:szCs w:val="22"/>
        </w:rPr>
        <w:t xml:space="preserve">di cui all’art. 243 comma 5 del TUEL </w:t>
      </w:r>
      <w:r w:rsidR="00B57351" w:rsidRPr="4B2BD245">
        <w:rPr>
          <w:rFonts w:ascii="Bookman Old Style" w:hAnsi="Bookman Old Style"/>
          <w:color w:val="2A2928"/>
          <w:sz w:val="22"/>
          <w:szCs w:val="22"/>
        </w:rPr>
        <w:t>nel caso in</w:t>
      </w:r>
      <w:r w:rsidR="006823E8" w:rsidRPr="4B2BD245">
        <w:rPr>
          <w:rFonts w:ascii="Bookman Old Style" w:hAnsi="Bookman Old Style"/>
          <w:color w:val="2A2928"/>
          <w:sz w:val="22"/>
          <w:szCs w:val="22"/>
        </w:rPr>
        <w:t xml:space="preserve"> </w:t>
      </w:r>
      <w:r w:rsidR="00B57351" w:rsidRPr="4B2BD245">
        <w:rPr>
          <w:rFonts w:ascii="Bookman Old Style" w:hAnsi="Bookman Old Style"/>
          <w:color w:val="2A2928"/>
          <w:sz w:val="22"/>
          <w:szCs w:val="22"/>
        </w:rPr>
        <w:t xml:space="preserve">cui non riescano a garantire </w:t>
      </w:r>
      <w:r w:rsidR="006823E8" w:rsidRPr="4B2BD245">
        <w:rPr>
          <w:rFonts w:ascii="Bookman Old Style" w:hAnsi="Bookman Old Style"/>
          <w:color w:val="2A2928"/>
          <w:sz w:val="22"/>
          <w:szCs w:val="22"/>
        </w:rPr>
        <w:t xml:space="preserve">i livelli minimi dei costi di gestione </w:t>
      </w:r>
      <w:r w:rsidR="00360F8F" w:rsidRPr="4B2BD245">
        <w:rPr>
          <w:rFonts w:ascii="Bookman Old Style" w:hAnsi="Bookman Old Style"/>
          <w:color w:val="2A2928"/>
          <w:sz w:val="22"/>
          <w:szCs w:val="22"/>
        </w:rPr>
        <w:t>di alcuni servizi</w:t>
      </w:r>
      <w:r w:rsidR="006823E8" w:rsidRPr="4B2BD245">
        <w:rPr>
          <w:rFonts w:ascii="Bookman Old Style" w:hAnsi="Bookman Old Style"/>
          <w:color w:val="2A2928"/>
          <w:sz w:val="22"/>
          <w:szCs w:val="22"/>
        </w:rPr>
        <w:t>.</w:t>
      </w:r>
    </w:p>
    <w:p w14:paraId="0914F756" w14:textId="77777777" w:rsidR="001E0D97" w:rsidRPr="00015698" w:rsidRDefault="001E0D97" w:rsidP="00AB06CA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p w14:paraId="36044D35" w14:textId="7A5E342E" w:rsidR="00F7101F" w:rsidRDefault="00F7101F" w:rsidP="00AB06CA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p w14:paraId="74FD56C7" w14:textId="456DFF28" w:rsidR="00234C9E" w:rsidRPr="00B2628F" w:rsidRDefault="00234C9E" w:rsidP="00BD066A">
      <w:pPr>
        <w:pStyle w:val="Default"/>
        <w:keepNext/>
        <w:numPr>
          <w:ilvl w:val="0"/>
          <w:numId w:val="2"/>
        </w:numPr>
        <w:ind w:left="714" w:hanging="357"/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B2628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Disposizioni a sostegno degli enti locali </w:t>
      </w:r>
      <w:r w:rsidR="00E40C30" w:rsidRPr="00B2628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per l’acquisto di beni e servizi </w:t>
      </w:r>
      <w:r w:rsidRPr="00B2628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(Art. 3 </w:t>
      </w:r>
      <w:proofErr w:type="spellStart"/>
      <w:r w:rsidR="00E40C30" w:rsidRPr="00B2628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quinquies</w:t>
      </w:r>
      <w:proofErr w:type="spellEnd"/>
      <w:r w:rsidRPr="00B2628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)</w:t>
      </w:r>
    </w:p>
    <w:p w14:paraId="0B04BBF4" w14:textId="28A40BBB" w:rsidR="005218B5" w:rsidRPr="00B2628F" w:rsidRDefault="00FD29A6" w:rsidP="00234C9E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  <w:r w:rsidRPr="00B2628F">
        <w:rPr>
          <w:rFonts w:ascii="Bookman Old Style" w:hAnsi="Bookman Old Style"/>
          <w:color w:val="2A2928"/>
          <w:sz w:val="22"/>
          <w:szCs w:val="22"/>
        </w:rPr>
        <w:t xml:space="preserve">La norma facilita il ricorso a fornitori diversi da quelli stabiliti con le convenzioni </w:t>
      </w:r>
      <w:proofErr w:type="spellStart"/>
      <w:r w:rsidRPr="00B2628F">
        <w:rPr>
          <w:rFonts w:ascii="Bookman Old Style" w:hAnsi="Bookman Old Style"/>
          <w:color w:val="2A2928"/>
          <w:sz w:val="22"/>
          <w:szCs w:val="22"/>
        </w:rPr>
        <w:t>Consip</w:t>
      </w:r>
      <w:proofErr w:type="spellEnd"/>
      <w:r w:rsidR="0016293B" w:rsidRPr="00B2628F">
        <w:rPr>
          <w:rFonts w:ascii="Bookman Old Style" w:hAnsi="Bookman Old Style"/>
          <w:color w:val="2A2928"/>
          <w:sz w:val="22"/>
          <w:szCs w:val="22"/>
        </w:rPr>
        <w:t xml:space="preserve"> o da centrali di committenza regionali</w:t>
      </w:r>
      <w:r w:rsidRPr="00B2628F">
        <w:rPr>
          <w:rFonts w:ascii="Bookman Old Style" w:hAnsi="Bookman Old Style"/>
          <w:color w:val="2A2928"/>
          <w:sz w:val="22"/>
          <w:szCs w:val="22"/>
        </w:rPr>
        <w:t xml:space="preserve">, riducendo la soglia di ribasso </w:t>
      </w:r>
      <w:r w:rsidR="00BD066A" w:rsidRPr="00B2628F">
        <w:rPr>
          <w:rFonts w:ascii="Bookman Old Style" w:hAnsi="Bookman Old Style"/>
          <w:color w:val="2A2928"/>
          <w:sz w:val="22"/>
          <w:szCs w:val="22"/>
        </w:rPr>
        <w:t>(</w:t>
      </w:r>
      <w:r w:rsidR="00BD066A" w:rsidRPr="00B2628F">
        <w:rPr>
          <w:rFonts w:ascii="Bookman Old Style" w:hAnsi="Bookman Old Style"/>
          <w:i/>
          <w:iCs/>
          <w:color w:val="2A2928"/>
          <w:sz w:val="22"/>
          <w:szCs w:val="22"/>
        </w:rPr>
        <w:t>ex</w:t>
      </w:r>
      <w:r w:rsidR="00BD066A" w:rsidRPr="00B2628F">
        <w:rPr>
          <w:rFonts w:ascii="Bookman Old Style" w:hAnsi="Bookman Old Style"/>
          <w:color w:val="2A2928"/>
          <w:sz w:val="22"/>
          <w:szCs w:val="22"/>
        </w:rPr>
        <w:t xml:space="preserve"> dl 95/2012, art. 12, co. 7) in corrispondenza della quale gli enti locali possono agire autonomamente con riferimento ai </w:t>
      </w:r>
      <w:r w:rsidRPr="00B2628F">
        <w:rPr>
          <w:rFonts w:ascii="Bookman Old Style" w:hAnsi="Bookman Old Style"/>
          <w:color w:val="2A2928"/>
          <w:sz w:val="22"/>
          <w:szCs w:val="22"/>
        </w:rPr>
        <w:t>servizi di telefonia</w:t>
      </w:r>
      <w:r w:rsidR="0016293B" w:rsidRPr="00B2628F">
        <w:rPr>
          <w:rFonts w:ascii="Bookman Old Style" w:hAnsi="Bookman Old Style"/>
          <w:color w:val="2A2928"/>
          <w:sz w:val="22"/>
          <w:szCs w:val="22"/>
        </w:rPr>
        <w:t xml:space="preserve"> (</w:t>
      </w:r>
      <w:r w:rsidR="001C0385" w:rsidRPr="00B2628F">
        <w:rPr>
          <w:rFonts w:ascii="Bookman Old Style" w:hAnsi="Bookman Old Style"/>
          <w:color w:val="2A2928"/>
          <w:sz w:val="22"/>
          <w:szCs w:val="22"/>
        </w:rPr>
        <w:t xml:space="preserve">dal 10 al </w:t>
      </w:r>
      <w:r w:rsidRPr="00B2628F">
        <w:rPr>
          <w:rFonts w:ascii="Bookman Old Style" w:hAnsi="Bookman Old Style"/>
          <w:color w:val="2A2928"/>
          <w:sz w:val="22"/>
          <w:szCs w:val="22"/>
        </w:rPr>
        <w:t>5%</w:t>
      </w:r>
      <w:r w:rsidR="0016293B" w:rsidRPr="00B2628F">
        <w:rPr>
          <w:rFonts w:ascii="Bookman Old Style" w:hAnsi="Bookman Old Style"/>
          <w:color w:val="2A2928"/>
          <w:sz w:val="22"/>
          <w:szCs w:val="22"/>
        </w:rPr>
        <w:t>)</w:t>
      </w:r>
      <w:r w:rsidR="00E40C30" w:rsidRPr="00B2628F">
        <w:rPr>
          <w:rFonts w:ascii="Bookman Old Style" w:hAnsi="Bookman Old Style"/>
          <w:color w:val="2A2928"/>
          <w:sz w:val="22"/>
          <w:szCs w:val="22"/>
        </w:rPr>
        <w:t xml:space="preserve"> </w:t>
      </w:r>
      <w:r w:rsidR="001C0385" w:rsidRPr="00B2628F">
        <w:rPr>
          <w:rFonts w:ascii="Bookman Old Style" w:hAnsi="Bookman Old Style"/>
          <w:color w:val="2A2928"/>
          <w:sz w:val="22"/>
          <w:szCs w:val="22"/>
        </w:rPr>
        <w:t xml:space="preserve">e agli acquisti di </w:t>
      </w:r>
      <w:r w:rsidR="0098211A" w:rsidRPr="00B2628F">
        <w:rPr>
          <w:rFonts w:ascii="Bookman Old Style" w:hAnsi="Bookman Old Style"/>
          <w:color w:val="2A2928"/>
          <w:sz w:val="22"/>
          <w:szCs w:val="22"/>
        </w:rPr>
        <w:t>carburanti, energia elettrica e gas</w:t>
      </w:r>
      <w:r w:rsidR="0016293B" w:rsidRPr="00B2628F">
        <w:rPr>
          <w:rFonts w:ascii="Bookman Old Style" w:hAnsi="Bookman Old Style"/>
          <w:color w:val="2A2928"/>
          <w:sz w:val="22"/>
          <w:szCs w:val="22"/>
        </w:rPr>
        <w:t xml:space="preserve"> (dal 5 al 2%)</w:t>
      </w:r>
      <w:r w:rsidR="0098211A" w:rsidRPr="00B2628F">
        <w:rPr>
          <w:rFonts w:ascii="Bookman Old Style" w:hAnsi="Bookman Old Style"/>
          <w:color w:val="2A2928"/>
          <w:sz w:val="22"/>
          <w:szCs w:val="22"/>
        </w:rPr>
        <w:t>.</w:t>
      </w:r>
    </w:p>
    <w:p w14:paraId="77F13F41" w14:textId="7D1498DF" w:rsidR="005218B5" w:rsidRPr="00B2628F" w:rsidRDefault="005218B5" w:rsidP="00AB06CA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p w14:paraId="5364933E" w14:textId="77777777" w:rsidR="006247A6" w:rsidRPr="00B2628F" w:rsidRDefault="006247A6" w:rsidP="00AB06CA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p w14:paraId="72E173E7" w14:textId="033B82FF" w:rsidR="006247A6" w:rsidRPr="00B2628F" w:rsidRDefault="009C3D35" w:rsidP="006247A6">
      <w:pPr>
        <w:pStyle w:val="Default"/>
        <w:keepNext/>
        <w:numPr>
          <w:ilvl w:val="0"/>
          <w:numId w:val="2"/>
        </w:numPr>
        <w:ind w:left="714" w:hanging="357"/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B2628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Disposizioni in materia di trasporto pubblico regionale e locale </w:t>
      </w:r>
      <w:r w:rsidR="006247A6" w:rsidRPr="00B2628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(Art. </w:t>
      </w:r>
      <w:r w:rsidR="00CB7A49" w:rsidRPr="00B2628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7 bis</w:t>
      </w:r>
      <w:r w:rsidR="006247A6" w:rsidRPr="00B2628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)</w:t>
      </w:r>
    </w:p>
    <w:p w14:paraId="52250FF1" w14:textId="2FCF8A2B" w:rsidR="006247A6" w:rsidRDefault="003D115E" w:rsidP="006247A6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  <w:r w:rsidRPr="00B2628F">
        <w:rPr>
          <w:rFonts w:ascii="Bookman Old Style" w:hAnsi="Bookman Old Style"/>
          <w:color w:val="2A2928"/>
          <w:sz w:val="22"/>
          <w:szCs w:val="22"/>
        </w:rPr>
        <w:t>La n</w:t>
      </w:r>
      <w:r w:rsidR="00B2628F">
        <w:rPr>
          <w:rFonts w:ascii="Bookman Old Style" w:hAnsi="Bookman Old Style"/>
          <w:color w:val="2A2928"/>
          <w:sz w:val="22"/>
          <w:szCs w:val="22"/>
        </w:rPr>
        <w:t>o</w:t>
      </w:r>
      <w:r w:rsidRPr="00B2628F">
        <w:rPr>
          <w:rFonts w:ascii="Bookman Old Style" w:hAnsi="Bookman Old Style"/>
          <w:color w:val="2A2928"/>
          <w:sz w:val="22"/>
          <w:szCs w:val="22"/>
        </w:rPr>
        <w:t xml:space="preserve">rma interviene su diversi aspetti del riparto del Fondo nazionale trasporti. </w:t>
      </w:r>
      <w:r w:rsidR="00F16F04" w:rsidRPr="00B2628F">
        <w:rPr>
          <w:rFonts w:ascii="Bookman Old Style" w:hAnsi="Bookman Old Style"/>
          <w:color w:val="2A2928"/>
          <w:sz w:val="22"/>
          <w:szCs w:val="22"/>
        </w:rPr>
        <w:t>Si indica</w:t>
      </w:r>
      <w:r w:rsidRPr="00B2628F">
        <w:rPr>
          <w:rFonts w:ascii="Bookman Old Style" w:hAnsi="Bookman Old Style"/>
          <w:color w:val="2A2928"/>
          <w:sz w:val="22"/>
          <w:szCs w:val="22"/>
        </w:rPr>
        <w:t xml:space="preserve">, in primo luogo, </w:t>
      </w:r>
      <w:r w:rsidR="00F16F04" w:rsidRPr="00B2628F">
        <w:rPr>
          <w:rFonts w:ascii="Bookman Old Style" w:hAnsi="Bookman Old Style"/>
          <w:color w:val="2A2928"/>
          <w:sz w:val="22"/>
          <w:szCs w:val="22"/>
        </w:rPr>
        <w:t>la data di riparto del fondo al 31 ottobre</w:t>
      </w:r>
      <w:r w:rsidR="00FC3EB6" w:rsidRPr="00B2628F">
        <w:rPr>
          <w:rFonts w:ascii="Bookman Old Style" w:hAnsi="Bookman Old Style"/>
          <w:color w:val="2A2928"/>
          <w:sz w:val="22"/>
          <w:szCs w:val="22"/>
        </w:rPr>
        <w:t xml:space="preserve"> di ogni anno</w:t>
      </w:r>
      <w:r w:rsidR="00F91BE8" w:rsidRPr="00B2628F">
        <w:rPr>
          <w:rFonts w:ascii="Bookman Old Style" w:hAnsi="Bookman Old Style"/>
          <w:color w:val="2A2928"/>
          <w:sz w:val="22"/>
          <w:szCs w:val="22"/>
        </w:rPr>
        <w:t xml:space="preserve">, stabilendo inoltre che il riparto viene effettuato per il 50% in base ai costi standard </w:t>
      </w:r>
      <w:r w:rsidR="00387191" w:rsidRPr="00B2628F">
        <w:rPr>
          <w:rFonts w:ascii="Bookman Old Style" w:hAnsi="Bookman Old Style"/>
          <w:color w:val="2A2928"/>
          <w:sz w:val="22"/>
          <w:szCs w:val="22"/>
        </w:rPr>
        <w:t xml:space="preserve">ex co. 84 della legge 147/2013 e per il 50% </w:t>
      </w:r>
      <w:r w:rsidR="00C21519" w:rsidRPr="00B2628F">
        <w:rPr>
          <w:rFonts w:ascii="Bookman Old Style" w:hAnsi="Bookman Old Style"/>
          <w:color w:val="2A2928"/>
          <w:sz w:val="22"/>
          <w:szCs w:val="22"/>
        </w:rPr>
        <w:t>tenendo</w:t>
      </w:r>
      <w:r w:rsidR="00286136" w:rsidRPr="00B2628F">
        <w:rPr>
          <w:rFonts w:ascii="Bookman Old Style" w:hAnsi="Bookman Old Style"/>
          <w:color w:val="2A2928"/>
          <w:sz w:val="22"/>
          <w:szCs w:val="22"/>
        </w:rPr>
        <w:t xml:space="preserve"> conto dei “livelli adeguati” dei servizi TPL</w:t>
      </w:r>
      <w:r w:rsidR="00BD29AD" w:rsidRPr="00B2628F">
        <w:rPr>
          <w:rFonts w:ascii="Bookman Old Style" w:hAnsi="Bookman Old Style"/>
          <w:color w:val="2A2928"/>
          <w:sz w:val="22"/>
          <w:szCs w:val="22"/>
        </w:rPr>
        <w:t xml:space="preserve">, da definirsi con </w:t>
      </w:r>
      <w:r w:rsidR="00170778" w:rsidRPr="00B2628F">
        <w:rPr>
          <w:rFonts w:ascii="Bookman Old Style" w:hAnsi="Bookman Old Style"/>
          <w:color w:val="2A2928"/>
          <w:sz w:val="22"/>
          <w:szCs w:val="22"/>
        </w:rPr>
        <w:t>successivo</w:t>
      </w:r>
      <w:r w:rsidR="00BD29AD" w:rsidRPr="00B2628F">
        <w:rPr>
          <w:rFonts w:ascii="Bookman Old Style" w:hAnsi="Bookman Old Style"/>
          <w:color w:val="2A2928"/>
          <w:sz w:val="22"/>
          <w:szCs w:val="22"/>
        </w:rPr>
        <w:t xml:space="preserve"> provvedimento </w:t>
      </w:r>
      <w:r w:rsidR="00170778" w:rsidRPr="00B2628F">
        <w:rPr>
          <w:rFonts w:ascii="Bookman Old Style" w:hAnsi="Bookman Old Style"/>
          <w:color w:val="2A2928"/>
          <w:sz w:val="22"/>
          <w:szCs w:val="22"/>
        </w:rPr>
        <w:t>attuativo</w:t>
      </w:r>
      <w:r w:rsidR="00C21519" w:rsidRPr="00B2628F">
        <w:rPr>
          <w:rFonts w:ascii="Bookman Old Style" w:hAnsi="Bookman Old Style"/>
          <w:color w:val="2A2928"/>
          <w:sz w:val="22"/>
          <w:szCs w:val="22"/>
        </w:rPr>
        <w:t xml:space="preserve">. Si stabilisce inoltre una riduzione di risorse </w:t>
      </w:r>
      <w:r w:rsidR="000651CD" w:rsidRPr="00B2628F">
        <w:rPr>
          <w:rFonts w:ascii="Bookman Old Style" w:hAnsi="Bookman Old Style"/>
          <w:color w:val="2A2928"/>
          <w:sz w:val="22"/>
          <w:szCs w:val="22"/>
        </w:rPr>
        <w:t>se i servizi regionali o locali non sono affidati tramite procedure ad evidenza pubblica</w:t>
      </w:r>
      <w:r w:rsidR="002B2933" w:rsidRPr="00B2628F">
        <w:rPr>
          <w:rFonts w:ascii="Bookman Old Style" w:hAnsi="Bookman Old Style"/>
          <w:color w:val="2A2928"/>
          <w:sz w:val="22"/>
          <w:szCs w:val="22"/>
        </w:rPr>
        <w:t>, nella misura del 15% del valore dei servizi affidati direttamente</w:t>
      </w:r>
      <w:r w:rsidR="00EE515A" w:rsidRPr="00B2628F">
        <w:rPr>
          <w:rFonts w:ascii="Bookman Old Style" w:hAnsi="Bookman Old Style"/>
          <w:color w:val="2A2928"/>
          <w:sz w:val="22"/>
          <w:szCs w:val="22"/>
        </w:rPr>
        <w:t xml:space="preserve">. </w:t>
      </w:r>
      <w:r w:rsidR="009B5434" w:rsidRPr="00B2628F">
        <w:rPr>
          <w:rFonts w:ascii="Bookman Old Style" w:hAnsi="Bookman Old Style"/>
          <w:color w:val="2A2928"/>
          <w:sz w:val="22"/>
          <w:szCs w:val="22"/>
        </w:rPr>
        <w:t>Sono ino</w:t>
      </w:r>
      <w:r w:rsidR="00D43F1B" w:rsidRPr="00B2628F">
        <w:rPr>
          <w:rFonts w:ascii="Bookman Old Style" w:hAnsi="Bookman Old Style"/>
          <w:color w:val="2A2928"/>
          <w:sz w:val="22"/>
          <w:szCs w:val="22"/>
        </w:rPr>
        <w:t>ltr</w:t>
      </w:r>
      <w:r w:rsidR="009B5434" w:rsidRPr="00B2628F">
        <w:rPr>
          <w:rFonts w:ascii="Bookman Old Style" w:hAnsi="Bookman Old Style"/>
          <w:color w:val="2A2928"/>
          <w:sz w:val="22"/>
          <w:szCs w:val="22"/>
        </w:rPr>
        <w:t xml:space="preserve">e stabiliti criteri di trasferimento </w:t>
      </w:r>
      <w:r w:rsidR="00D43F1B" w:rsidRPr="00B2628F">
        <w:rPr>
          <w:rFonts w:ascii="Bookman Old Style" w:hAnsi="Bookman Old Style"/>
          <w:color w:val="2A2928"/>
          <w:sz w:val="22"/>
          <w:szCs w:val="22"/>
        </w:rPr>
        <w:t>minimo non riducibile, al fine di assicurare maggior certezza nelle assegnazioni annuali</w:t>
      </w:r>
      <w:r w:rsidR="00033EBE" w:rsidRPr="00B2628F">
        <w:rPr>
          <w:rFonts w:ascii="Bookman Old Style" w:hAnsi="Bookman Old Style"/>
          <w:color w:val="2A2928"/>
          <w:sz w:val="22"/>
          <w:szCs w:val="22"/>
        </w:rPr>
        <w:t>, nelle more della definitiva determinazione delle somme spettanti a ciascuna regione</w:t>
      </w:r>
      <w:r w:rsidR="00170778" w:rsidRPr="00B2628F">
        <w:rPr>
          <w:rFonts w:ascii="Bookman Old Style" w:hAnsi="Bookman Old Style"/>
          <w:color w:val="2A2928"/>
          <w:sz w:val="22"/>
          <w:szCs w:val="22"/>
        </w:rPr>
        <w:t>.</w:t>
      </w:r>
    </w:p>
    <w:p w14:paraId="1A399162" w14:textId="36904C83" w:rsidR="005218B5" w:rsidRPr="00015698" w:rsidRDefault="003D3E96" w:rsidP="003D3E96">
      <w:pPr>
        <w:pStyle w:val="Default"/>
        <w:tabs>
          <w:tab w:val="left" w:pos="1395"/>
        </w:tabs>
        <w:jc w:val="both"/>
        <w:rPr>
          <w:rFonts w:ascii="Bookman Old Style" w:hAnsi="Bookman Old Style"/>
          <w:color w:val="2A2928"/>
          <w:sz w:val="22"/>
          <w:szCs w:val="22"/>
        </w:rPr>
      </w:pPr>
      <w:r>
        <w:rPr>
          <w:rFonts w:ascii="Bookman Old Style" w:hAnsi="Bookman Old Style"/>
          <w:color w:val="2A2928"/>
          <w:sz w:val="22"/>
          <w:szCs w:val="22"/>
        </w:rPr>
        <w:tab/>
      </w:r>
    </w:p>
    <w:p w14:paraId="61A56AEB" w14:textId="2203A8F1" w:rsidR="00A92195" w:rsidRPr="00664ECE" w:rsidRDefault="00A92195" w:rsidP="00602E4B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p w14:paraId="6C77BEA3" w14:textId="491A4F43" w:rsidR="004D1B2C" w:rsidRPr="00D5262C" w:rsidRDefault="004D1B2C" w:rsidP="00E47FCB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D5262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Misure straordinarie in favore degli enti locali finalizzate all’accelerazione dei tempi di pagamento</w:t>
      </w:r>
      <w:r w:rsidR="00730761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. L</w:t>
      </w:r>
      <w:r w:rsidR="00C1014D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imiti anticipazione di tesoreria</w:t>
      </w:r>
      <w:r w:rsidRPr="00D5262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(Art. 8 bis)</w:t>
      </w:r>
    </w:p>
    <w:p w14:paraId="2DE97659" w14:textId="51B182F2" w:rsidR="004715F8" w:rsidRPr="00D5262C" w:rsidRDefault="00833969" w:rsidP="003D18F4">
      <w:pPr>
        <w:pStyle w:val="Default"/>
        <w:jc w:val="both"/>
        <w:rPr>
          <w:rFonts w:ascii="Bookman Old Style" w:hAnsi="Bookman Old Style"/>
          <w:color w:val="auto"/>
          <w:sz w:val="22"/>
          <w:szCs w:val="22"/>
          <w:shd w:val="clear" w:color="auto" w:fill="FFFFFF"/>
        </w:rPr>
      </w:pPr>
      <w:r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>A</w:t>
      </w:r>
      <w:r w:rsidR="003D18F4" w:rsidRPr="00D5262C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l fine di agevolare il rispetto dei tempi di pagamento </w:t>
      </w:r>
      <w:r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la norma </w:t>
      </w:r>
      <w:r w:rsidR="005266B9" w:rsidRPr="00D5262C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stabilisce che </w:t>
      </w:r>
      <w:r w:rsidR="003D18F4" w:rsidRPr="00D5262C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>il limite massimo di ricorso da parte degli enti locali ad anticipazioni di tesoreria</w:t>
      </w:r>
      <w:r w:rsidR="000E6CE2" w:rsidRPr="00D5262C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 elevato</w:t>
      </w:r>
      <w:r w:rsidR="003D18F4" w:rsidRPr="00D5262C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 da tre a cinque dodicesimi </w:t>
      </w:r>
      <w:r w:rsidR="000E6CE2" w:rsidRPr="00D5262C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sia prorogato di un </w:t>
      </w:r>
      <w:r w:rsidR="004715F8" w:rsidRPr="00D5262C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>ul</w:t>
      </w:r>
      <w:r w:rsidR="000E6CE2" w:rsidRPr="00D5262C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 xml:space="preserve">teriore anno </w:t>
      </w:r>
      <w:r w:rsidR="004715F8" w:rsidRPr="00D5262C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>quindi fino al 2023</w:t>
      </w:r>
      <w:r w:rsidR="00D5262C">
        <w:rPr>
          <w:rFonts w:ascii="Bookman Old Style" w:hAnsi="Bookman Old Style"/>
          <w:color w:val="auto"/>
          <w:sz w:val="22"/>
          <w:szCs w:val="22"/>
          <w:shd w:val="clear" w:color="auto" w:fill="FFFFFF"/>
        </w:rPr>
        <w:t>.</w:t>
      </w:r>
    </w:p>
    <w:p w14:paraId="76DCB876" w14:textId="0C9D7730" w:rsidR="00E90537" w:rsidRPr="00D5262C" w:rsidRDefault="00E90537" w:rsidP="006D5AEB">
      <w:pPr>
        <w:pStyle w:val="Default"/>
        <w:jc w:val="both"/>
        <w:rPr>
          <w:rFonts w:ascii="Bookman Old Style" w:hAnsi="Bookman Old Style"/>
          <w:i/>
          <w:iCs/>
          <w:color w:val="auto"/>
          <w:sz w:val="22"/>
          <w:szCs w:val="22"/>
        </w:rPr>
      </w:pPr>
    </w:p>
    <w:p w14:paraId="2DB37B22" w14:textId="5987A23D" w:rsidR="00EE3D1F" w:rsidRPr="00D5262C" w:rsidRDefault="00EE3D1F" w:rsidP="006D5AEB">
      <w:pPr>
        <w:pStyle w:val="Default"/>
        <w:jc w:val="both"/>
        <w:rPr>
          <w:rFonts w:ascii="Bookman Old Style" w:hAnsi="Bookman Old Style"/>
          <w:b/>
          <w:bCs/>
          <w:i/>
          <w:iCs/>
          <w:color w:val="2A2928"/>
          <w:sz w:val="22"/>
          <w:szCs w:val="22"/>
        </w:rPr>
      </w:pPr>
    </w:p>
    <w:p w14:paraId="036A638B" w14:textId="2DCE787B" w:rsidR="00E90537" w:rsidRPr="00D5262C" w:rsidRDefault="00E90537" w:rsidP="00E47FCB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D5262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Disposizioni in materia di produzione di energia elettrica da impianti solari fotovoltaici (Art</w:t>
      </w:r>
      <w:r w:rsidR="00900258" w:rsidRPr="00D5262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. </w:t>
      </w:r>
      <w:r w:rsidRPr="00D5262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9-bis)</w:t>
      </w:r>
    </w:p>
    <w:p w14:paraId="05B0EDDC" w14:textId="240803CC" w:rsidR="00E90537" w:rsidRDefault="005218B5" w:rsidP="00E90537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  <w:r>
        <w:rPr>
          <w:rFonts w:ascii="Bookman Old Style" w:hAnsi="Bookman Old Style"/>
          <w:color w:val="2A2928"/>
          <w:sz w:val="22"/>
          <w:szCs w:val="22"/>
        </w:rPr>
        <w:t>Viene</w:t>
      </w:r>
      <w:r w:rsidR="004A27E0">
        <w:rPr>
          <w:rFonts w:ascii="Bookman Old Style" w:hAnsi="Bookman Old Style"/>
          <w:color w:val="2A2928"/>
          <w:sz w:val="22"/>
          <w:szCs w:val="22"/>
        </w:rPr>
        <w:t xml:space="preserve"> chiarito</w:t>
      </w:r>
      <w:r w:rsidR="00CD1CFE" w:rsidRPr="00D5262C">
        <w:rPr>
          <w:rFonts w:ascii="Bookman Old Style" w:hAnsi="Bookman Old Style"/>
          <w:color w:val="2A2928"/>
          <w:sz w:val="22"/>
          <w:szCs w:val="22"/>
        </w:rPr>
        <w:t xml:space="preserve"> che </w:t>
      </w:r>
      <w:r w:rsidR="002553FC" w:rsidRPr="00D5262C">
        <w:rPr>
          <w:rFonts w:ascii="Bookman Old Style" w:hAnsi="Bookman Old Style"/>
          <w:color w:val="2A2928"/>
          <w:sz w:val="22"/>
          <w:szCs w:val="22"/>
        </w:rPr>
        <w:t>gli enti locali, come definiti dall’articolo 2,</w:t>
      </w:r>
      <w:r w:rsidR="00CD1CFE" w:rsidRPr="00D5262C">
        <w:rPr>
          <w:rFonts w:ascii="Bookman Old Style" w:hAnsi="Bookman Old Style"/>
          <w:color w:val="2A2928"/>
          <w:sz w:val="22"/>
          <w:szCs w:val="22"/>
        </w:rPr>
        <w:t xml:space="preserve"> </w:t>
      </w:r>
      <w:r w:rsidR="002553FC" w:rsidRPr="00D5262C">
        <w:rPr>
          <w:rFonts w:ascii="Bookman Old Style" w:hAnsi="Bookman Old Style"/>
          <w:color w:val="2A2928"/>
          <w:sz w:val="22"/>
          <w:szCs w:val="22"/>
        </w:rPr>
        <w:t xml:space="preserve">commi 1 e 2, del testo unico di </w:t>
      </w:r>
      <w:r w:rsidR="00CD1CFE" w:rsidRPr="00D5262C">
        <w:rPr>
          <w:rFonts w:ascii="Bookman Old Style" w:hAnsi="Bookman Old Style"/>
          <w:color w:val="2A2928"/>
          <w:sz w:val="22"/>
          <w:szCs w:val="22"/>
        </w:rPr>
        <w:t>TUEL</w:t>
      </w:r>
      <w:r w:rsidR="002553FC" w:rsidRPr="00D5262C">
        <w:rPr>
          <w:rFonts w:ascii="Bookman Old Style" w:hAnsi="Bookman Old Style"/>
          <w:color w:val="2A2928"/>
          <w:sz w:val="22"/>
          <w:szCs w:val="22"/>
        </w:rPr>
        <w:t>,</w:t>
      </w:r>
      <w:r w:rsidR="0073013F">
        <w:rPr>
          <w:rFonts w:ascii="Bookman Old Style" w:hAnsi="Bookman Old Style"/>
          <w:color w:val="2A2928"/>
          <w:sz w:val="22"/>
          <w:szCs w:val="22"/>
        </w:rPr>
        <w:t xml:space="preserve"> </w:t>
      </w:r>
      <w:r w:rsidR="002553FC" w:rsidRPr="00D5262C">
        <w:rPr>
          <w:rFonts w:ascii="Bookman Old Style" w:hAnsi="Bookman Old Style"/>
          <w:color w:val="2A2928"/>
          <w:sz w:val="22"/>
          <w:szCs w:val="22"/>
        </w:rPr>
        <w:t>ovvero le regioni, in ragione della loro natura, sono soggetti responsabili degli impianti fotovoltaici anche laddove ne abbiano esternalizzato la realizzazione, la</w:t>
      </w:r>
      <w:r w:rsidR="00CD1CFE" w:rsidRPr="00D5262C">
        <w:rPr>
          <w:rFonts w:ascii="Bookman Old Style" w:hAnsi="Bookman Old Style"/>
          <w:color w:val="2A2928"/>
          <w:sz w:val="22"/>
          <w:szCs w:val="22"/>
        </w:rPr>
        <w:t xml:space="preserve"> </w:t>
      </w:r>
      <w:r w:rsidR="002553FC" w:rsidRPr="00D5262C">
        <w:rPr>
          <w:rFonts w:ascii="Bookman Old Style" w:hAnsi="Bookman Old Style"/>
          <w:color w:val="2A2928"/>
          <w:sz w:val="22"/>
          <w:szCs w:val="22"/>
        </w:rPr>
        <w:t>gestione, la sicurezza sul lavoro, la manutenzione, compresa quella relativa al funzionamento, e i relativi costi.</w:t>
      </w:r>
    </w:p>
    <w:p w14:paraId="43BDA89D" w14:textId="77777777" w:rsidR="00783EEE" w:rsidRPr="00D5262C" w:rsidRDefault="00783EEE" w:rsidP="00E90537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p w14:paraId="6FA44BB0" w14:textId="0CF88F09" w:rsidR="00210345" w:rsidRDefault="00210345" w:rsidP="00E90537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p w14:paraId="36A47FDE" w14:textId="541BA073" w:rsidR="00454680" w:rsidRPr="002809E2" w:rsidRDefault="00783EEE" w:rsidP="00783EEE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2809E2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Norme in materia di procedure di affidamento di lavori (Art.</w:t>
      </w:r>
      <w:r w:rsidR="00D323FA" w:rsidRPr="002809E2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10</w:t>
      </w:r>
      <w:r w:rsidR="00FC3EB6" w:rsidRPr="002809E2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, co. 1 e 2</w:t>
      </w:r>
      <w:r w:rsidRPr="002809E2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)</w:t>
      </w:r>
    </w:p>
    <w:p w14:paraId="669E2B02" w14:textId="77777777" w:rsidR="00A75C31" w:rsidRPr="00B5176F" w:rsidRDefault="00A75C31" w:rsidP="00A75C31">
      <w:pPr>
        <w:pStyle w:val="Default"/>
        <w:spacing w:after="40"/>
        <w:jc w:val="both"/>
        <w:rPr>
          <w:rFonts w:ascii="Bookman Old Style" w:hAnsi="Bookman Old Style"/>
          <w:color w:val="auto"/>
          <w:sz w:val="22"/>
          <w:szCs w:val="22"/>
        </w:rPr>
      </w:pPr>
      <w:r w:rsidRPr="002809E2">
        <w:rPr>
          <w:rFonts w:ascii="Bookman Old Style" w:hAnsi="Bookman Old Style"/>
          <w:color w:val="2A2928"/>
          <w:sz w:val="22"/>
          <w:szCs w:val="22"/>
        </w:rPr>
        <w:t xml:space="preserve">La </w:t>
      </w:r>
      <w:r w:rsidRPr="00B5176F">
        <w:rPr>
          <w:rFonts w:ascii="Bookman Old Style" w:hAnsi="Bookman Old Style"/>
          <w:color w:val="auto"/>
          <w:sz w:val="22"/>
          <w:szCs w:val="22"/>
        </w:rPr>
        <w:t xml:space="preserve">norma in commento viene incontro alle difficoltà segnalate dall’ANCI rispetto alla delicata questione degli affidamenti diretti per i Comuni per opere PNRR ed interviene sull’accesso ai contributi di cui al fondo opere indifferibili per gli enti rimasti esclusi dall’applicazione del DPCM del 28/7/2022. </w:t>
      </w:r>
    </w:p>
    <w:p w14:paraId="5CE4D899" w14:textId="19567BD6" w:rsidR="00A75C31" w:rsidRPr="00B5176F" w:rsidRDefault="00A75C31" w:rsidP="00A75C31">
      <w:pPr>
        <w:pStyle w:val="Default"/>
        <w:spacing w:after="40"/>
        <w:jc w:val="both"/>
        <w:rPr>
          <w:rFonts w:ascii="Bookman Old Style" w:hAnsi="Bookman Old Style"/>
          <w:color w:val="auto"/>
          <w:sz w:val="22"/>
          <w:szCs w:val="22"/>
        </w:rPr>
      </w:pPr>
      <w:r w:rsidRPr="00B5176F">
        <w:rPr>
          <w:rFonts w:ascii="Bookman Old Style" w:hAnsi="Bookman Old Style"/>
          <w:color w:val="auto"/>
          <w:sz w:val="22"/>
          <w:szCs w:val="22"/>
        </w:rPr>
        <w:t>Il primo comma riguarda i Comuni non Capoluogo per gli interventi PNRR e PNC e dispone che – come richiesto dall’ANCI - tali enti possono compiere affidamenti diretti fino a 139.000 euro, per acquisti di servizi e forniture. Per i medesimi Enti, dunque, solo oltre tale soglia di acquisti di servizi e forniture, scatta l’obbligo di ricorrere alle aggregazioni (attraverso Centrali di committenza e Soggetti aggregatori; Unioni di</w:t>
      </w:r>
      <w:r w:rsidRPr="00B5176F">
        <w:rPr>
          <w:rFonts w:ascii="Bookman Old Style" w:hAnsi="Bookman Old Style"/>
          <w:bCs/>
          <w:color w:val="auto"/>
          <w:sz w:val="22"/>
          <w:szCs w:val="22"/>
        </w:rPr>
        <w:t xml:space="preserve"> Comuni, Consorzi e Associazioni; Province e Città Metropolitane; Comuni Capoluogo di Provincia). Per i lavori invece la soglia, oltre la quale scatta l’obbligo per i medesimi Enti di ricorrere alle aggregazioni, per gli affidamenti diretti e sempre per opere finanziate a valere su risorse del PNRR e del PNC, rimane </w:t>
      </w:r>
      <w:r w:rsidRPr="00B5176F">
        <w:rPr>
          <w:rFonts w:ascii="Bookman Old Style" w:hAnsi="Bookman Old Style"/>
          <w:color w:val="auto"/>
          <w:sz w:val="22"/>
          <w:szCs w:val="22"/>
        </w:rPr>
        <w:t>invariata e fissata a 150.000 euro.</w:t>
      </w:r>
    </w:p>
    <w:p w14:paraId="52563C80" w14:textId="56FD2837" w:rsidR="00A75C31" w:rsidRPr="00B5176F" w:rsidRDefault="00A75C31" w:rsidP="00A75C31">
      <w:pPr>
        <w:pStyle w:val="Default"/>
        <w:spacing w:after="40"/>
        <w:jc w:val="both"/>
        <w:rPr>
          <w:rFonts w:ascii="Bookman Old Style" w:hAnsi="Bookman Old Style"/>
          <w:color w:val="auto"/>
          <w:sz w:val="22"/>
          <w:szCs w:val="22"/>
        </w:rPr>
      </w:pPr>
      <w:r w:rsidRPr="00B5176F">
        <w:rPr>
          <w:rFonts w:ascii="Bookman Old Style" w:hAnsi="Bookman Old Style"/>
          <w:color w:val="auto"/>
          <w:sz w:val="22"/>
          <w:szCs w:val="22"/>
        </w:rPr>
        <w:t xml:space="preserve">Il secondo comma, invece, consente alle stazioni appaltanti rimaste escluse dalla compensazione per la variazione dei prezzi dei materiali da costruzione, per opere PNRR e PNC (articolo 26, c. 7 del dl 50/2022), l’accesso ai contributi di cui al fondo per l’avvio delle opere indifferibili, regolato dal DPCM del 28/7/2022. La norma prevede che i contributi residuali rispetto alle richieste di accesso al fondo già pervenute, saranno destinati a finanziare le amministrazioni che sono in possesso dei requisiti richiesti dal DPCM stesso e che hanno provveduto ad avviare le procedure di affidamento dei lavori entro il 31 dicembre 2022. Molti comuni infatti avevano bandito le procedure di affidamento per interventi PNRR e PNC prima del 18/5/2022 (anche in adesione ad Accordi Quadro con </w:t>
      </w:r>
      <w:proofErr w:type="spellStart"/>
      <w:r w:rsidRPr="00B5176F">
        <w:rPr>
          <w:rFonts w:ascii="Bookman Old Style" w:hAnsi="Bookman Old Style"/>
          <w:color w:val="auto"/>
          <w:sz w:val="22"/>
          <w:szCs w:val="22"/>
        </w:rPr>
        <w:t>Invitalia</w:t>
      </w:r>
      <w:proofErr w:type="spellEnd"/>
      <w:r w:rsidRPr="00B5176F">
        <w:rPr>
          <w:rFonts w:ascii="Bookman Old Style" w:hAnsi="Bookman Old Style"/>
          <w:color w:val="auto"/>
          <w:sz w:val="22"/>
          <w:szCs w:val="22"/>
        </w:rPr>
        <w:t>) - data a decorrere dalla quale, come previsto dal DPCM, potevano essere effettuate le richieste di accesso al fondo avvio opere indifferibili - nonché non risultano neppure beneficiari delle preassegnazioni previste dal dl 144/2021 che richiama interventi specifici del PNC.</w:t>
      </w:r>
    </w:p>
    <w:p w14:paraId="515BC8F3" w14:textId="430C90CB" w:rsidR="00A75C31" w:rsidRPr="00B5176F" w:rsidRDefault="00A75C31" w:rsidP="00A75C31">
      <w:pPr>
        <w:pStyle w:val="Default"/>
        <w:spacing w:after="40"/>
        <w:jc w:val="both"/>
        <w:rPr>
          <w:rFonts w:ascii="Bookman Old Style" w:hAnsi="Bookman Old Style"/>
          <w:color w:val="auto"/>
          <w:sz w:val="22"/>
          <w:szCs w:val="22"/>
        </w:rPr>
      </w:pPr>
      <w:r w:rsidRPr="00B5176F">
        <w:rPr>
          <w:rFonts w:ascii="Bookman Old Style" w:hAnsi="Bookman Old Style"/>
          <w:color w:val="auto"/>
          <w:sz w:val="22"/>
          <w:szCs w:val="22"/>
        </w:rPr>
        <w:t>La disposizione apre quindi la possibilità di accedere al fondo in questione, ma rimanda le modalità operative ad un decreto del Ministero dell’economia e delle finanze da adottare entro 60 giorni dall’entrata in vigore del decreto</w:t>
      </w:r>
      <w:r w:rsidR="001D3842" w:rsidRPr="00B5176F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B5176F">
        <w:rPr>
          <w:rFonts w:ascii="Bookman Old Style" w:hAnsi="Bookman Old Style"/>
          <w:color w:val="auto"/>
          <w:sz w:val="22"/>
          <w:szCs w:val="22"/>
        </w:rPr>
        <w:t>legge.</w:t>
      </w:r>
    </w:p>
    <w:p w14:paraId="53A675BB" w14:textId="77777777" w:rsidR="00CB439E" w:rsidRPr="00B5176F" w:rsidRDefault="00CB439E" w:rsidP="00A75C31">
      <w:pPr>
        <w:pStyle w:val="Default"/>
        <w:spacing w:after="40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6D0BAEB9" w14:textId="77777777" w:rsidR="00783EEE" w:rsidRPr="00B5176F" w:rsidRDefault="00783EEE" w:rsidP="00E90537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04C0D6C2" w14:textId="422355BC" w:rsidR="00210345" w:rsidRPr="00CB439E" w:rsidRDefault="00210345" w:rsidP="00E47FCB">
      <w:pPr>
        <w:pStyle w:val="Default"/>
        <w:numPr>
          <w:ilvl w:val="0"/>
          <w:numId w:val="2"/>
        </w:numPr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CB439E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Appalti autonomi per i piccoli comuni e proroga realizzazione opere medie (Art. 10 commi</w:t>
      </w:r>
      <w:r w:rsidR="001F39FC" w:rsidRPr="00CB439E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2 bis e 2 ter)</w:t>
      </w:r>
    </w:p>
    <w:p w14:paraId="70AE718D" w14:textId="67752D35" w:rsidR="00210345" w:rsidRPr="00E11B66" w:rsidRDefault="00E759F7" w:rsidP="00CB439E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Su proposta dell’ANCI viene prorogata </w:t>
      </w:r>
      <w:r w:rsidR="00210345" w:rsidRPr="00CB439E">
        <w:rPr>
          <w:rFonts w:ascii="Bookman Old Style" w:hAnsi="Bookman Old Style"/>
        </w:rPr>
        <w:t xml:space="preserve">al 31 marzo p.v. la possibilità di realizzare le opere di messa in sicurezza degli edifici e del </w:t>
      </w:r>
      <w:r w:rsidR="00210345" w:rsidRPr="00E11B66">
        <w:rPr>
          <w:rFonts w:ascii="Bookman Old Style" w:hAnsi="Bookman Old Style"/>
        </w:rPr>
        <w:t>territorio previsti dal PNRR (cd “Medie opere”), evitando quindi che</w:t>
      </w:r>
      <w:r w:rsidR="00210345" w:rsidRPr="00E11B66">
        <w:rPr>
          <w:rFonts w:ascii="Bookman Old Style" w:eastAsia="Bookman Old Style" w:hAnsi="Bookman Old Style" w:cs="Bookman Old Style"/>
        </w:rPr>
        <w:t xml:space="preserve"> importanti risorse PNRR </w:t>
      </w:r>
      <w:r w:rsidR="00CB439E" w:rsidRPr="00E11B66">
        <w:rPr>
          <w:rFonts w:ascii="Bookman Old Style" w:eastAsia="Bookman Old Style" w:hAnsi="Bookman Old Style" w:cs="Bookman Old Style"/>
        </w:rPr>
        <w:t>vadano</w:t>
      </w:r>
      <w:r w:rsidR="00210345" w:rsidRPr="00E11B66">
        <w:rPr>
          <w:rFonts w:ascii="Bookman Old Style" w:eastAsia="Bookman Old Style" w:hAnsi="Bookman Old Style" w:cs="Bookman Old Style"/>
        </w:rPr>
        <w:t xml:space="preserve"> perdute o </w:t>
      </w:r>
      <w:r w:rsidR="00CB439E" w:rsidRPr="00E11B66">
        <w:rPr>
          <w:rFonts w:ascii="Bookman Old Style" w:eastAsia="Bookman Old Style" w:hAnsi="Bookman Old Style" w:cs="Bookman Old Style"/>
        </w:rPr>
        <w:t>siano</w:t>
      </w:r>
      <w:r w:rsidR="00210345" w:rsidRPr="00E11B66">
        <w:rPr>
          <w:rFonts w:ascii="Bookman Old Style" w:eastAsia="Bookman Old Style" w:hAnsi="Bookman Old Style" w:cs="Bookman Old Style"/>
        </w:rPr>
        <w:t xml:space="preserve"> oggetto di revoca a causa di ritardi di modesta entità nell’affidamento dei lavori.</w:t>
      </w:r>
    </w:p>
    <w:p w14:paraId="6F471D0A" w14:textId="61587534" w:rsidR="00210345" w:rsidRDefault="00E759F7" w:rsidP="00CB439E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Vengono altresì considerate</w:t>
      </w:r>
      <w:r w:rsidR="00210345" w:rsidRPr="00E11B66">
        <w:rPr>
          <w:rFonts w:ascii="Bookman Old Style" w:eastAsia="Bookman Old Style" w:hAnsi="Bookman Old Style" w:cs="Bookman Old Style"/>
        </w:rPr>
        <w:t xml:space="preserve"> pienamente legittime tutte quelle procedure di gara avviate autonomamente dai Comuni non capoluogo,</w:t>
      </w:r>
      <w:r w:rsidR="00210345" w:rsidRPr="00E11B66">
        <w:rPr>
          <w:rFonts w:ascii="Bookman Old Style" w:hAnsi="Bookman Old Style"/>
        </w:rPr>
        <w:t xml:space="preserve"> prevalentemente piccoli Comuni, senza passare per aggregazioni, centrali di committenza, soggetti aggregatori, etc. </w:t>
      </w:r>
    </w:p>
    <w:p w14:paraId="09397DF9" w14:textId="77777777" w:rsidR="00E80F92" w:rsidRDefault="00E80F92" w:rsidP="00CB439E">
      <w:pPr>
        <w:spacing w:after="0" w:line="240" w:lineRule="auto"/>
        <w:jc w:val="both"/>
        <w:rPr>
          <w:rFonts w:ascii="Bookman Old Style" w:hAnsi="Bookman Old Style"/>
        </w:rPr>
      </w:pPr>
    </w:p>
    <w:p w14:paraId="5951347B" w14:textId="77777777" w:rsidR="00E80F92" w:rsidRDefault="00E80F92" w:rsidP="00CB439E">
      <w:pPr>
        <w:spacing w:after="0" w:line="240" w:lineRule="auto"/>
        <w:jc w:val="both"/>
        <w:rPr>
          <w:rFonts w:ascii="Bookman Old Style" w:hAnsi="Bookman Old Style"/>
        </w:rPr>
      </w:pPr>
    </w:p>
    <w:p w14:paraId="7BC3D1CB" w14:textId="0637F50C" w:rsidR="00E80F92" w:rsidRPr="003D3CBF" w:rsidRDefault="005A70F3" w:rsidP="00CB04A2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Esenzione IMU cinema/teatri (Art. 12, co</w:t>
      </w:r>
      <w:r w:rsidR="002F03E2"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.</w:t>
      </w:r>
      <w:r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1 e 2</w:t>
      </w:r>
      <w:r w:rsidR="002F03E2"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)</w:t>
      </w:r>
    </w:p>
    <w:p w14:paraId="088FE8F1" w14:textId="6CFEA015" w:rsidR="00556D98" w:rsidRPr="003D3CBF" w:rsidRDefault="00EE2527" w:rsidP="00556D98">
      <w:pPr>
        <w:spacing w:after="0" w:line="240" w:lineRule="auto"/>
        <w:jc w:val="both"/>
        <w:rPr>
          <w:rFonts w:ascii="Bookman Old Style" w:hAnsi="Bookman Old Style"/>
        </w:rPr>
      </w:pPr>
      <w:r w:rsidRPr="003D3CBF">
        <w:rPr>
          <w:rFonts w:ascii="Bookman Old Style" w:hAnsi="Bookman Old Style"/>
        </w:rPr>
        <w:t xml:space="preserve">Con una norma interpretativa l’esenzione della seconda rata IMU </w:t>
      </w:r>
      <w:r w:rsidR="003C1BBF" w:rsidRPr="003D3CBF">
        <w:rPr>
          <w:rFonts w:ascii="Bookman Old Style" w:hAnsi="Bookman Old Style"/>
        </w:rPr>
        <w:t xml:space="preserve">2022 </w:t>
      </w:r>
      <w:r w:rsidRPr="003D3CBF">
        <w:rPr>
          <w:rFonts w:ascii="Bookman Old Style" w:hAnsi="Bookman Old Style"/>
        </w:rPr>
        <w:t xml:space="preserve">per </w:t>
      </w:r>
      <w:r w:rsidR="003C1BBF" w:rsidRPr="003D3CBF">
        <w:rPr>
          <w:rFonts w:ascii="Bookman Old Style" w:hAnsi="Bookman Old Style"/>
        </w:rPr>
        <w:t xml:space="preserve">gli immobili adibiti a cinema e teatri, </w:t>
      </w:r>
      <w:r w:rsidR="009C0CAB" w:rsidRPr="003D3CBF">
        <w:rPr>
          <w:rFonts w:ascii="Bookman Old Style" w:hAnsi="Bookman Old Style"/>
        </w:rPr>
        <w:t>di cui all’art. 78, co. 3 del dl n. 104/2020,</w:t>
      </w:r>
      <w:r w:rsidR="003C1BBF" w:rsidRPr="003D3CBF">
        <w:rPr>
          <w:rFonts w:ascii="Bookman Old Style" w:hAnsi="Bookman Old Style"/>
        </w:rPr>
        <w:t xml:space="preserve"> viene confermata, ma subordinata </w:t>
      </w:r>
      <w:r w:rsidR="009C0CAB" w:rsidRPr="003D3CBF">
        <w:rPr>
          <w:rFonts w:ascii="Bookman Old Style" w:hAnsi="Bookman Old Style"/>
        </w:rPr>
        <w:t xml:space="preserve">al rispetto dei limiti dettati dal regolamento europeo sugli aiuti di Stato “de </w:t>
      </w:r>
      <w:proofErr w:type="spellStart"/>
      <w:r w:rsidR="009C0CAB" w:rsidRPr="003D3CBF">
        <w:rPr>
          <w:rFonts w:ascii="Bookman Old Style" w:hAnsi="Bookman Old Style"/>
        </w:rPr>
        <w:t>minimis</w:t>
      </w:r>
      <w:proofErr w:type="spellEnd"/>
      <w:r w:rsidR="009C0CAB" w:rsidRPr="003D3CBF">
        <w:rPr>
          <w:rFonts w:ascii="Bookman Old Style" w:hAnsi="Bookman Old Style"/>
        </w:rPr>
        <w:t>”</w:t>
      </w:r>
      <w:r w:rsidR="00DC6366" w:rsidRPr="003D3CBF">
        <w:rPr>
          <w:rFonts w:ascii="Bookman Old Style" w:hAnsi="Bookman Old Style"/>
        </w:rPr>
        <w:t>. Il ristoro ai comuni dell’esenzione relativa alla prima rata dell’esenzione in questione è stato approvato</w:t>
      </w:r>
      <w:r w:rsidR="00DC6366">
        <w:rPr>
          <w:rFonts w:ascii="Bookman Old Style" w:hAnsi="Bookman Old Style"/>
        </w:rPr>
        <w:t xml:space="preserve"> dalla Conferenza Stato-Città del </w:t>
      </w:r>
      <w:r w:rsidR="006F463F">
        <w:rPr>
          <w:rFonts w:ascii="Bookman Old Style" w:hAnsi="Bookman Old Style"/>
        </w:rPr>
        <w:t xml:space="preserve">21 </w:t>
      </w:r>
      <w:r w:rsidR="00DC6366">
        <w:rPr>
          <w:rFonts w:ascii="Bookman Old Style" w:hAnsi="Bookman Old Style"/>
        </w:rPr>
        <w:t xml:space="preserve">dicembre scorso </w:t>
      </w:r>
      <w:r w:rsidR="006F463F">
        <w:rPr>
          <w:rFonts w:ascii="Bookman Old Style" w:hAnsi="Bookman Old Style"/>
        </w:rPr>
        <w:t xml:space="preserve">e i relativi dati </w:t>
      </w:r>
      <w:r w:rsidR="00744776">
        <w:rPr>
          <w:rFonts w:ascii="Bookman Old Style" w:hAnsi="Bookman Old Style"/>
        </w:rPr>
        <w:t xml:space="preserve">saranno </w:t>
      </w:r>
      <w:r w:rsidR="00744776" w:rsidRPr="003D3CBF">
        <w:rPr>
          <w:rFonts w:ascii="Bookman Old Style" w:hAnsi="Bookman Old Style"/>
        </w:rPr>
        <w:t>pubblicati dal Ministero dell’interno nei prossimi giorni</w:t>
      </w:r>
      <w:r w:rsidR="00BF1424" w:rsidRPr="003D3CBF">
        <w:rPr>
          <w:rFonts w:ascii="Bookman Old Style" w:hAnsi="Bookman Old Style"/>
        </w:rPr>
        <w:t>.</w:t>
      </w:r>
    </w:p>
    <w:p w14:paraId="17909374" w14:textId="77777777" w:rsidR="00CB04A2" w:rsidRPr="003D3CBF" w:rsidRDefault="00CB04A2" w:rsidP="00CB439E">
      <w:pPr>
        <w:spacing w:after="0" w:line="240" w:lineRule="auto"/>
        <w:jc w:val="both"/>
        <w:rPr>
          <w:rFonts w:ascii="Bookman Old Style" w:hAnsi="Bookman Old Style"/>
        </w:rPr>
      </w:pPr>
    </w:p>
    <w:p w14:paraId="583FF3CA" w14:textId="77777777" w:rsidR="00CB04A2" w:rsidRPr="003D3CBF" w:rsidRDefault="00CB04A2" w:rsidP="00CB439E">
      <w:pPr>
        <w:spacing w:after="0" w:line="240" w:lineRule="auto"/>
        <w:jc w:val="both"/>
        <w:rPr>
          <w:rFonts w:ascii="Bookman Old Style" w:hAnsi="Bookman Old Style"/>
        </w:rPr>
      </w:pPr>
    </w:p>
    <w:p w14:paraId="06934B25" w14:textId="39C0F858" w:rsidR="005F6791" w:rsidRPr="003D3CBF" w:rsidRDefault="005F6791" w:rsidP="005F6791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Esenzione bollo </w:t>
      </w:r>
      <w:r w:rsidR="00B6613E"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su domande contributi a seguito di eventi calamitosi</w:t>
      </w:r>
      <w:r w:rsidR="0031348E"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</w:t>
      </w:r>
      <w:r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(Art. 12, co</w:t>
      </w:r>
      <w:r w:rsidR="0031348E"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.</w:t>
      </w:r>
      <w:r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</w:t>
      </w:r>
      <w:r w:rsidR="0031348E"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3)</w:t>
      </w:r>
    </w:p>
    <w:p w14:paraId="5BB68569" w14:textId="3412C930" w:rsidR="005F6791" w:rsidRPr="00556D98" w:rsidRDefault="00C00194" w:rsidP="005F6791">
      <w:pPr>
        <w:spacing w:after="0" w:line="240" w:lineRule="auto"/>
        <w:jc w:val="both"/>
        <w:rPr>
          <w:rFonts w:ascii="Bookman Old Style" w:hAnsi="Bookman Old Style"/>
        </w:rPr>
      </w:pPr>
      <w:r w:rsidRPr="003D3CBF">
        <w:rPr>
          <w:rFonts w:ascii="Bookman Old Style" w:hAnsi="Bookman Old Style"/>
        </w:rPr>
        <w:t>La norma esenta dall’imposta di bollo tutte le richieste di contribut</w:t>
      </w:r>
      <w:r w:rsidR="00525E2E" w:rsidRPr="003D3CBF">
        <w:rPr>
          <w:rFonts w:ascii="Bookman Old Style" w:hAnsi="Bookman Old Style"/>
        </w:rPr>
        <w:t>i, comunque denominati, a favore di soggetti colpiti da eventi calamitos</w:t>
      </w:r>
      <w:r w:rsidR="007E7C38" w:rsidRPr="003D3CBF">
        <w:rPr>
          <w:rFonts w:ascii="Bookman Old Style" w:hAnsi="Bookman Old Style"/>
        </w:rPr>
        <w:t>i oggetto di dichiarazione di stato di emergenza.</w:t>
      </w:r>
    </w:p>
    <w:p w14:paraId="7210B8ED" w14:textId="77777777" w:rsidR="005F6791" w:rsidRDefault="005F6791" w:rsidP="00CB439E">
      <w:pPr>
        <w:spacing w:after="0" w:line="240" w:lineRule="auto"/>
        <w:jc w:val="both"/>
        <w:rPr>
          <w:rFonts w:ascii="Bookman Old Style" w:hAnsi="Bookman Old Style"/>
        </w:rPr>
      </w:pPr>
    </w:p>
    <w:p w14:paraId="5B0E5017" w14:textId="77777777" w:rsidR="00FC082D" w:rsidRDefault="00FC082D" w:rsidP="00CB439E">
      <w:pPr>
        <w:spacing w:after="0" w:line="240" w:lineRule="auto"/>
        <w:jc w:val="both"/>
        <w:rPr>
          <w:rFonts w:ascii="Bookman Old Style" w:hAnsi="Bookman Old Style"/>
        </w:rPr>
      </w:pPr>
    </w:p>
    <w:p w14:paraId="2E48764A" w14:textId="6A9E44A1" w:rsidR="00D20C69" w:rsidRPr="003D3CBF" w:rsidRDefault="00156E07" w:rsidP="00D20C69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Misure  a  favore  dei  territori  delle  Marche</w:t>
      </w:r>
      <w:r w:rsidR="007E7C38"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</w:t>
      </w:r>
      <w:r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colpiti  dagli  eccezionali  eventi  meteorologici  verificatisi  a  partire  dal  15  settembre2022 </w:t>
      </w:r>
      <w:r w:rsidR="00D20C69"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(Art. 12</w:t>
      </w:r>
      <w:r w:rsidR="00006F7D"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 bis</w:t>
      </w:r>
      <w:r w:rsidR="00D20C69" w:rsidRPr="003D3CBF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)</w:t>
      </w:r>
    </w:p>
    <w:p w14:paraId="2CEEC2A9" w14:textId="3C7B475F" w:rsidR="00D20C69" w:rsidRPr="004455CB" w:rsidRDefault="00366BE7" w:rsidP="00D20C69">
      <w:pPr>
        <w:spacing w:after="0" w:line="240" w:lineRule="auto"/>
        <w:jc w:val="both"/>
        <w:rPr>
          <w:rFonts w:ascii="Bookman Old Style" w:hAnsi="Bookman Old Style"/>
          <w:color w:val="1B1A17"/>
        </w:rPr>
      </w:pPr>
      <w:r w:rsidRPr="003D3CBF">
        <w:rPr>
          <w:rFonts w:ascii="Bookman Old Style" w:hAnsi="Bookman Old Style"/>
          <w:color w:val="1B1A17"/>
        </w:rPr>
        <w:t>Sono stanziati 200 milioni di euro per gli interventi relativi ali territori delle Marche colpiti dall’alluvione del 15 settembre 2022</w:t>
      </w:r>
      <w:r w:rsidR="004455CB" w:rsidRPr="003D3CBF">
        <w:rPr>
          <w:rFonts w:ascii="Bookman Old Style" w:hAnsi="Bookman Old Style"/>
          <w:color w:val="1B1A17"/>
        </w:rPr>
        <w:t>.</w:t>
      </w:r>
    </w:p>
    <w:p w14:paraId="03AA1085" w14:textId="77777777" w:rsidR="00D20C69" w:rsidRDefault="00D20C69" w:rsidP="00CB439E">
      <w:pPr>
        <w:spacing w:after="0" w:line="240" w:lineRule="auto"/>
        <w:jc w:val="both"/>
        <w:rPr>
          <w:rFonts w:ascii="Bookman Old Style" w:hAnsi="Bookman Old Style"/>
        </w:rPr>
      </w:pPr>
    </w:p>
    <w:p w14:paraId="58EFCE89" w14:textId="77777777" w:rsidR="00504854" w:rsidRDefault="00504854" w:rsidP="00CB439E">
      <w:pPr>
        <w:spacing w:after="0" w:line="240" w:lineRule="auto"/>
        <w:jc w:val="both"/>
        <w:rPr>
          <w:rFonts w:ascii="Bookman Old Style" w:hAnsi="Bookman Old Style"/>
        </w:rPr>
      </w:pPr>
    </w:p>
    <w:p w14:paraId="383929C9" w14:textId="40300D55" w:rsidR="00C6098C" w:rsidRPr="00C6098C" w:rsidRDefault="006B0765" w:rsidP="00C6098C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C6098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Risorse per investimenti in rigenerazione urbana per i comuni con popolazione inferiore a 15.000 abitanti</w:t>
      </w:r>
      <w:r w:rsidR="00C6098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(</w:t>
      </w:r>
      <w:r w:rsidR="00C6098C" w:rsidRPr="00C6098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Art</w:t>
      </w:r>
      <w:r w:rsidR="00C6098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.</w:t>
      </w:r>
      <w:r w:rsidR="00C6098C" w:rsidRPr="00C6098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14-quinquies</w:t>
      </w:r>
      <w:r w:rsidR="00C6098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)</w:t>
      </w:r>
      <w:r w:rsidR="00C6098C" w:rsidRPr="00C6098C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</w:t>
      </w:r>
    </w:p>
    <w:p w14:paraId="0F883374" w14:textId="26B84EDC" w:rsidR="000B4A20" w:rsidRPr="004455CB" w:rsidRDefault="00851405" w:rsidP="006318F9">
      <w:pPr>
        <w:spacing w:after="0" w:line="240" w:lineRule="auto"/>
        <w:jc w:val="both"/>
        <w:rPr>
          <w:rFonts w:ascii="Bookman Old Style" w:hAnsi="Bookman Old Style"/>
          <w:color w:val="1B1A17"/>
        </w:rPr>
      </w:pPr>
      <w:r w:rsidRPr="004455CB">
        <w:rPr>
          <w:rFonts w:ascii="Bookman Old Style" w:hAnsi="Bookman Old Style"/>
          <w:color w:val="1B1A17"/>
        </w:rPr>
        <w:t>Viene</w:t>
      </w:r>
      <w:r w:rsidR="002652B9" w:rsidRPr="004455CB">
        <w:rPr>
          <w:rFonts w:ascii="Bookman Old Style" w:hAnsi="Bookman Old Style"/>
          <w:color w:val="1B1A17"/>
        </w:rPr>
        <w:t xml:space="preserve"> istituito un fondo presso il</w:t>
      </w:r>
      <w:r w:rsidR="000B4A20" w:rsidRPr="004455CB">
        <w:rPr>
          <w:rFonts w:ascii="Bookman Old Style" w:hAnsi="Bookman Old Style"/>
          <w:color w:val="1B1A17"/>
        </w:rPr>
        <w:t xml:space="preserve"> Ministero dell’interno per</w:t>
      </w:r>
      <w:r w:rsidR="002652B9" w:rsidRPr="004455CB">
        <w:rPr>
          <w:rFonts w:ascii="Bookman Old Style" w:hAnsi="Bookman Old Style"/>
          <w:color w:val="1B1A17"/>
        </w:rPr>
        <w:t xml:space="preserve"> </w:t>
      </w:r>
      <w:r w:rsidR="000B4A20" w:rsidRPr="004455CB">
        <w:rPr>
          <w:rFonts w:ascii="Bookman Old Style" w:hAnsi="Bookman Old Style"/>
          <w:color w:val="1B1A17"/>
        </w:rPr>
        <w:t>investimenti in rigenerazione urbana a favore dei comuni con popolazione inferiore</w:t>
      </w:r>
      <w:r w:rsidR="002652B9" w:rsidRPr="004455CB">
        <w:rPr>
          <w:rFonts w:ascii="Bookman Old Style" w:hAnsi="Bookman Old Style"/>
          <w:color w:val="1B1A17"/>
        </w:rPr>
        <w:t xml:space="preserve"> </w:t>
      </w:r>
      <w:r w:rsidR="000B4A20" w:rsidRPr="004455CB">
        <w:rPr>
          <w:rFonts w:ascii="Bookman Old Style" w:hAnsi="Bookman Old Style"/>
          <w:color w:val="1B1A17"/>
        </w:rPr>
        <w:t>a 15.000 abitanti, con una dotazione di</w:t>
      </w:r>
      <w:r w:rsidR="002652B9" w:rsidRPr="004455CB">
        <w:rPr>
          <w:rFonts w:ascii="Bookman Old Style" w:hAnsi="Bookman Old Style"/>
          <w:color w:val="1B1A17"/>
        </w:rPr>
        <w:t xml:space="preserve"> </w:t>
      </w:r>
      <w:r w:rsidR="000B4A20" w:rsidRPr="004455CB">
        <w:rPr>
          <w:rFonts w:ascii="Bookman Old Style" w:hAnsi="Bookman Old Style"/>
          <w:color w:val="1B1A17"/>
        </w:rPr>
        <w:t>115 milioni di euro per l’anno 2025 e di</w:t>
      </w:r>
      <w:r w:rsidR="00E022D2" w:rsidRPr="004455CB">
        <w:rPr>
          <w:rFonts w:ascii="Bookman Old Style" w:hAnsi="Bookman Old Style"/>
          <w:color w:val="1B1A17"/>
        </w:rPr>
        <w:t xml:space="preserve"> </w:t>
      </w:r>
      <w:r w:rsidR="000B4A20" w:rsidRPr="004455CB">
        <w:rPr>
          <w:rFonts w:ascii="Bookman Old Style" w:hAnsi="Bookman Old Style"/>
          <w:color w:val="1B1A17"/>
        </w:rPr>
        <w:t xml:space="preserve">120 milioni di euro per l’anno 2026. Con decreto del Ministro </w:t>
      </w:r>
      <w:r w:rsidR="002652B9" w:rsidRPr="004455CB">
        <w:rPr>
          <w:rFonts w:ascii="Bookman Old Style" w:hAnsi="Bookman Old Style"/>
          <w:color w:val="1B1A17"/>
        </w:rPr>
        <w:t>dell’interno</w:t>
      </w:r>
      <w:r w:rsidR="000B4A20" w:rsidRPr="004455CB">
        <w:rPr>
          <w:rFonts w:ascii="Bookman Old Style" w:hAnsi="Bookman Old Style"/>
          <w:color w:val="1B1A17"/>
        </w:rPr>
        <w:t xml:space="preserve"> di concerto con </w:t>
      </w:r>
      <w:r w:rsidR="002652B9" w:rsidRPr="004455CB">
        <w:rPr>
          <w:rFonts w:ascii="Bookman Old Style" w:hAnsi="Bookman Old Style"/>
          <w:color w:val="1B1A17"/>
        </w:rPr>
        <w:t>il MEF</w:t>
      </w:r>
      <w:r w:rsidR="000B4A20" w:rsidRPr="004455CB">
        <w:rPr>
          <w:rFonts w:ascii="Bookman Old Style" w:hAnsi="Bookman Old Style"/>
          <w:color w:val="1B1A17"/>
        </w:rPr>
        <w:t xml:space="preserve">, previa intesa </w:t>
      </w:r>
      <w:r w:rsidR="00E022D2" w:rsidRPr="004455CB">
        <w:rPr>
          <w:rFonts w:ascii="Bookman Old Style" w:hAnsi="Bookman Old Style"/>
          <w:color w:val="1B1A17"/>
        </w:rPr>
        <w:t>in</w:t>
      </w:r>
      <w:r w:rsidR="000B4A20" w:rsidRPr="004455CB">
        <w:rPr>
          <w:rFonts w:ascii="Bookman Old Style" w:hAnsi="Bookman Old Style"/>
          <w:color w:val="1B1A17"/>
        </w:rPr>
        <w:t xml:space="preserve"> Conferenza Stato-città ed autonomie locali, da adottare entro il 30 giugno</w:t>
      </w:r>
      <w:r w:rsidR="00013EA0" w:rsidRPr="004455CB">
        <w:rPr>
          <w:rFonts w:ascii="Bookman Old Style" w:hAnsi="Bookman Old Style"/>
          <w:color w:val="1B1A17"/>
        </w:rPr>
        <w:t xml:space="preserve"> </w:t>
      </w:r>
      <w:r w:rsidR="000B4A20" w:rsidRPr="004455CB">
        <w:rPr>
          <w:rFonts w:ascii="Bookman Old Style" w:hAnsi="Bookman Old Style"/>
          <w:color w:val="1B1A17"/>
        </w:rPr>
        <w:t>2023, sono individuati i criteri di riparto</w:t>
      </w:r>
      <w:r w:rsidR="008A3313" w:rsidRPr="004455CB">
        <w:rPr>
          <w:rFonts w:ascii="Bookman Old Style" w:hAnsi="Bookman Old Style"/>
          <w:color w:val="1B1A17"/>
        </w:rPr>
        <w:t xml:space="preserve"> </w:t>
      </w:r>
      <w:r w:rsidR="000B4A20" w:rsidRPr="004455CB">
        <w:rPr>
          <w:rFonts w:ascii="Bookman Old Style" w:hAnsi="Bookman Old Style"/>
          <w:color w:val="1B1A17"/>
        </w:rPr>
        <w:t>del fondo. Il decreto disciplina altresì le modalità di utilizzo delle risorse, ivi incluse le modalità</w:t>
      </w:r>
      <w:r w:rsidR="006318F9" w:rsidRPr="004455CB">
        <w:rPr>
          <w:rFonts w:ascii="Bookman Old Style" w:hAnsi="Bookman Old Style"/>
          <w:color w:val="1B1A17"/>
        </w:rPr>
        <w:t xml:space="preserve"> </w:t>
      </w:r>
      <w:r w:rsidR="000B4A20" w:rsidRPr="004455CB">
        <w:rPr>
          <w:rFonts w:ascii="Bookman Old Style" w:hAnsi="Bookman Old Style"/>
          <w:color w:val="1B1A17"/>
        </w:rPr>
        <w:t>di utilizzo dei ribassi d’asta, di monitoraggio, di rendicontazione, nonché le modalità di recupero ed eventuale riassegnazione delle somme non utilizzate.</w:t>
      </w:r>
      <w:r w:rsidR="000C474E" w:rsidRPr="004455CB">
        <w:rPr>
          <w:rFonts w:ascii="Bookman Old Style" w:hAnsi="Bookman Old Style"/>
          <w:color w:val="1B1A17"/>
        </w:rPr>
        <w:t xml:space="preserve"> </w:t>
      </w:r>
    </w:p>
    <w:p w14:paraId="6E9143E1" w14:textId="55E60C8B" w:rsidR="000C474E" w:rsidRPr="002652B9" w:rsidRDefault="000C474E" w:rsidP="000B4A20">
      <w:pPr>
        <w:spacing w:after="0" w:line="360" w:lineRule="auto"/>
        <w:jc w:val="both"/>
        <w:rPr>
          <w:rFonts w:ascii="Bookman Old Style" w:hAnsi="Bookman Old Style"/>
          <w:color w:val="1B1A17"/>
          <w:sz w:val="23"/>
          <w:szCs w:val="23"/>
        </w:rPr>
      </w:pPr>
    </w:p>
    <w:p w14:paraId="6F009C96" w14:textId="381583EC" w:rsidR="000C474E" w:rsidRPr="006318F9" w:rsidRDefault="00166D22" w:rsidP="00B461FA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  <w:r w:rsidRPr="006318F9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Proroga di disposizioni in materia di incarichi di vicesegretario comunale</w:t>
      </w:r>
      <w:r w:rsidR="006318F9" w:rsidRPr="006318F9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</w:t>
      </w:r>
      <w:r w:rsidR="006318F9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(</w:t>
      </w:r>
      <w:r w:rsidR="006318F9" w:rsidRPr="006318F9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Art</w:t>
      </w:r>
      <w:r w:rsidR="006318F9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.</w:t>
      </w:r>
      <w:r w:rsidR="006318F9" w:rsidRPr="006318F9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14</w:t>
      </w:r>
      <w:r w:rsidR="006318F9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 xml:space="preserve"> </w:t>
      </w:r>
      <w:proofErr w:type="spellStart"/>
      <w:r w:rsidR="006318F9" w:rsidRPr="006318F9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sexies</w:t>
      </w:r>
      <w:proofErr w:type="spellEnd"/>
      <w:r w:rsidR="006318F9">
        <w:rPr>
          <w:rFonts w:ascii="Bookman Old Style" w:hAnsi="Bookman Old Style"/>
          <w:b/>
          <w:bCs/>
          <w:color w:val="4472C4" w:themeColor="accent1"/>
          <w:sz w:val="22"/>
          <w:szCs w:val="22"/>
        </w:rPr>
        <w:t>)</w:t>
      </w:r>
    </w:p>
    <w:p w14:paraId="0B7C1A11" w14:textId="5E323853" w:rsidR="007E372A" w:rsidRPr="00432276" w:rsidRDefault="0035331F" w:rsidP="00533622">
      <w:pPr>
        <w:spacing w:after="0" w:line="240" w:lineRule="auto"/>
        <w:jc w:val="both"/>
        <w:rPr>
          <w:rFonts w:ascii="Bookman Old Style" w:hAnsi="Bookman Old Style"/>
          <w:color w:val="1B1A17"/>
        </w:rPr>
      </w:pPr>
      <w:r w:rsidRPr="00432276">
        <w:rPr>
          <w:rFonts w:ascii="Bookman Old Style" w:hAnsi="Bookman Old Style"/>
          <w:color w:val="1B1A17"/>
        </w:rPr>
        <w:t xml:space="preserve">Viene prorogata </w:t>
      </w:r>
      <w:r w:rsidR="00984062" w:rsidRPr="00432276">
        <w:rPr>
          <w:rFonts w:ascii="Bookman Old Style" w:hAnsi="Bookman Old Style"/>
          <w:color w:val="1B1A17"/>
        </w:rPr>
        <w:t xml:space="preserve">al 31 dicembre 2023 la </w:t>
      </w:r>
      <w:r w:rsidR="00590340" w:rsidRPr="00432276">
        <w:rPr>
          <w:rFonts w:ascii="Bookman Old Style" w:hAnsi="Bookman Old Style"/>
          <w:color w:val="1B1A17"/>
        </w:rPr>
        <w:t>possibilità di conferire incarichi di vice segret</w:t>
      </w:r>
      <w:r w:rsidR="007E372A" w:rsidRPr="00432276">
        <w:rPr>
          <w:rFonts w:ascii="Bookman Old Style" w:hAnsi="Bookman Old Style"/>
          <w:color w:val="1B1A17"/>
        </w:rPr>
        <w:t>ario</w:t>
      </w:r>
      <w:r w:rsidR="00590340" w:rsidRPr="00432276">
        <w:rPr>
          <w:rFonts w:ascii="Bookman Old Style" w:hAnsi="Bookman Old Style"/>
          <w:color w:val="1B1A17"/>
        </w:rPr>
        <w:t xml:space="preserve"> comu</w:t>
      </w:r>
      <w:r w:rsidR="007E372A" w:rsidRPr="00432276">
        <w:rPr>
          <w:rFonts w:ascii="Bookman Old Style" w:hAnsi="Bookman Old Style"/>
          <w:color w:val="1B1A17"/>
        </w:rPr>
        <w:t>n</w:t>
      </w:r>
      <w:r w:rsidR="00590340" w:rsidRPr="00432276">
        <w:rPr>
          <w:rFonts w:ascii="Bookman Old Style" w:hAnsi="Bookman Old Style"/>
          <w:color w:val="1B1A17"/>
        </w:rPr>
        <w:t>ale</w:t>
      </w:r>
      <w:r w:rsidR="009F7607">
        <w:rPr>
          <w:rFonts w:ascii="Bookman Old Style" w:hAnsi="Bookman Old Style"/>
          <w:color w:val="1B1A17"/>
        </w:rPr>
        <w:t xml:space="preserve"> per una durata massima di 24 mesi</w:t>
      </w:r>
      <w:r w:rsidR="00E73627" w:rsidRPr="00432276">
        <w:rPr>
          <w:rFonts w:ascii="Bookman Old Style" w:hAnsi="Bookman Old Style"/>
          <w:color w:val="1B1A17"/>
        </w:rPr>
        <w:t xml:space="preserve"> </w:t>
      </w:r>
      <w:r w:rsidR="002B70AB" w:rsidRPr="00432276">
        <w:rPr>
          <w:rFonts w:ascii="Bookman Old Style" w:hAnsi="Bookman Old Style"/>
          <w:color w:val="1B1A17"/>
        </w:rPr>
        <w:t>(</w:t>
      </w:r>
      <w:r w:rsidR="00BE471E" w:rsidRPr="4B2BD245">
        <w:rPr>
          <w:rFonts w:ascii="Bookman Old Style" w:hAnsi="Bookman Old Style"/>
          <w:i/>
          <w:iCs/>
          <w:color w:val="1B1A17"/>
        </w:rPr>
        <w:t xml:space="preserve">prevista dall’ </w:t>
      </w:r>
      <w:r w:rsidR="008C1B46" w:rsidRPr="4B2BD245">
        <w:rPr>
          <w:rFonts w:ascii="Bookman Old Style" w:hAnsi="Bookman Old Style"/>
          <w:i/>
          <w:iCs/>
          <w:color w:val="000000"/>
          <w:shd w:val="clear" w:color="auto" w:fill="FFFFFF"/>
        </w:rPr>
        <w:t>art</w:t>
      </w:r>
      <w:r w:rsidR="002D6006" w:rsidRPr="4B2BD245">
        <w:rPr>
          <w:rFonts w:ascii="Bookman Old Style" w:hAnsi="Bookman Old Style"/>
          <w:i/>
          <w:iCs/>
          <w:color w:val="000000"/>
          <w:shd w:val="clear" w:color="auto" w:fill="FFFFFF"/>
        </w:rPr>
        <w:t>.</w:t>
      </w:r>
      <w:r w:rsidR="008C1B46" w:rsidRPr="4B2BD245">
        <w:rPr>
          <w:rFonts w:ascii="Bookman Old Style" w:hAnsi="Bookman Old Style"/>
          <w:i/>
          <w:iCs/>
          <w:color w:val="000000"/>
          <w:shd w:val="clear" w:color="auto" w:fill="FFFFFF"/>
        </w:rPr>
        <w:t xml:space="preserve"> 16-ter, commi 9 e 10, del </w:t>
      </w:r>
      <w:proofErr w:type="spellStart"/>
      <w:r w:rsidR="008C1B46" w:rsidRPr="4B2BD245">
        <w:rPr>
          <w:rFonts w:ascii="Bookman Old Style" w:hAnsi="Bookman Old Style"/>
          <w:i/>
          <w:iCs/>
          <w:color w:val="000000"/>
          <w:shd w:val="clear" w:color="auto" w:fill="FFFFFF"/>
        </w:rPr>
        <w:t>d</w:t>
      </w:r>
      <w:r w:rsidR="00397F47" w:rsidRPr="4B2BD245">
        <w:rPr>
          <w:rFonts w:ascii="Bookman Old Style" w:hAnsi="Bookman Old Style"/>
          <w:i/>
          <w:iCs/>
          <w:color w:val="000000"/>
          <w:shd w:val="clear" w:color="auto" w:fill="FFFFFF"/>
        </w:rPr>
        <w:t>.l.</w:t>
      </w:r>
      <w:proofErr w:type="spellEnd"/>
      <w:r w:rsidR="008C1B46" w:rsidRPr="4B2BD245">
        <w:rPr>
          <w:rFonts w:ascii="Bookman Old Style" w:hAnsi="Bookman Old Style"/>
          <w:i/>
          <w:iCs/>
          <w:color w:val="000000"/>
          <w:shd w:val="clear" w:color="auto" w:fill="FFFFFF"/>
        </w:rPr>
        <w:t xml:space="preserve"> 30 dicembre 2019, n. 162, convertito</w:t>
      </w:r>
      <w:r w:rsidR="00BE471E" w:rsidRPr="4B2BD245">
        <w:rPr>
          <w:rFonts w:ascii="Bookman Old Style" w:hAnsi="Bookman Old Style"/>
          <w:i/>
          <w:iCs/>
          <w:color w:val="000000"/>
          <w:shd w:val="clear" w:color="auto" w:fill="FFFFFF"/>
        </w:rPr>
        <w:t xml:space="preserve"> in</w:t>
      </w:r>
      <w:r w:rsidR="008C1B46" w:rsidRPr="4B2BD245">
        <w:rPr>
          <w:rFonts w:ascii="Bookman Old Style" w:hAnsi="Bookman Old Style"/>
          <w:i/>
          <w:iCs/>
          <w:color w:val="000000"/>
          <w:shd w:val="clear" w:color="auto" w:fill="FFFFFF"/>
        </w:rPr>
        <w:t xml:space="preserve"> legge 28 febbraio 2020, n. 8</w:t>
      </w:r>
      <w:r w:rsidR="00397F47" w:rsidRPr="00432276">
        <w:rPr>
          <w:rFonts w:ascii="Bookman Old Style" w:hAnsi="Bookman Old Style"/>
          <w:color w:val="000000"/>
          <w:shd w:val="clear" w:color="auto" w:fill="FFFFFF"/>
        </w:rPr>
        <w:t>)</w:t>
      </w:r>
      <w:r w:rsidR="007E372A" w:rsidRPr="00432276">
        <w:rPr>
          <w:rFonts w:ascii="Bookman Old Style" w:hAnsi="Bookman Old Style"/>
          <w:color w:val="1B1A17"/>
        </w:rPr>
        <w:t>. I relativi incarichi, se conferiti entro tale data, proseguono sino alla naturale scadenza.</w:t>
      </w:r>
      <w:r w:rsidR="00397F47" w:rsidRPr="00432276">
        <w:rPr>
          <w:rFonts w:ascii="Bookman Old Style" w:hAnsi="Bookman Old Style"/>
          <w:color w:val="1B1A17"/>
        </w:rPr>
        <w:t xml:space="preserve"> Resta da chiarire </w:t>
      </w:r>
      <w:r w:rsidR="00CB7C0E" w:rsidRPr="00432276">
        <w:rPr>
          <w:rFonts w:ascii="Bookman Old Style" w:hAnsi="Bookman Old Style"/>
          <w:color w:val="1B1A17"/>
        </w:rPr>
        <w:t>cosa inte</w:t>
      </w:r>
      <w:r w:rsidR="001F2EEA" w:rsidRPr="00432276">
        <w:rPr>
          <w:rFonts w:ascii="Bookman Old Style" w:hAnsi="Bookman Old Style"/>
          <w:color w:val="1B1A17"/>
        </w:rPr>
        <w:t>n</w:t>
      </w:r>
      <w:r w:rsidR="00CB7C0E" w:rsidRPr="00432276">
        <w:rPr>
          <w:rFonts w:ascii="Bookman Old Style" w:hAnsi="Bookman Old Style"/>
          <w:color w:val="1B1A17"/>
        </w:rPr>
        <w:t>da il legislatore per naturale sc</w:t>
      </w:r>
      <w:r w:rsidR="001F2EEA" w:rsidRPr="00432276">
        <w:rPr>
          <w:rFonts w:ascii="Bookman Old Style" w:hAnsi="Bookman Old Style"/>
          <w:color w:val="1B1A17"/>
        </w:rPr>
        <w:t>a</w:t>
      </w:r>
      <w:r w:rsidR="00CB7C0E" w:rsidRPr="00432276">
        <w:rPr>
          <w:rFonts w:ascii="Bookman Old Style" w:hAnsi="Bookman Old Style"/>
          <w:color w:val="1B1A17"/>
        </w:rPr>
        <w:t>de</w:t>
      </w:r>
      <w:r w:rsidR="001F2EEA" w:rsidRPr="00432276">
        <w:rPr>
          <w:rFonts w:ascii="Bookman Old Style" w:hAnsi="Bookman Old Style"/>
          <w:color w:val="1B1A17"/>
        </w:rPr>
        <w:t>nza.</w:t>
      </w:r>
    </w:p>
    <w:p w14:paraId="68F11BB5" w14:textId="77777777" w:rsidR="00210345" w:rsidRPr="00432276" w:rsidRDefault="00210345" w:rsidP="00E90537">
      <w:pPr>
        <w:pStyle w:val="Default"/>
        <w:jc w:val="both"/>
        <w:rPr>
          <w:rFonts w:ascii="Bookman Old Style" w:hAnsi="Bookman Old Style"/>
          <w:color w:val="2A2928"/>
          <w:sz w:val="22"/>
          <w:szCs w:val="22"/>
        </w:rPr>
      </w:pPr>
    </w:p>
    <w:sectPr w:rsidR="00210345" w:rsidRPr="00432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5B50" w14:textId="77777777" w:rsidR="006E35D3" w:rsidRDefault="006E35D3" w:rsidP="00EB6C34">
      <w:pPr>
        <w:spacing w:after="0" w:line="240" w:lineRule="auto"/>
      </w:pPr>
      <w:r>
        <w:separator/>
      </w:r>
    </w:p>
  </w:endnote>
  <w:endnote w:type="continuationSeparator" w:id="0">
    <w:p w14:paraId="131087A6" w14:textId="77777777" w:rsidR="006E35D3" w:rsidRDefault="006E35D3" w:rsidP="00EB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LT St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478A" w14:textId="77777777" w:rsidR="006E35D3" w:rsidRDefault="006E35D3" w:rsidP="00EB6C34">
      <w:pPr>
        <w:spacing w:after="0" w:line="240" w:lineRule="auto"/>
      </w:pPr>
      <w:r>
        <w:separator/>
      </w:r>
    </w:p>
  </w:footnote>
  <w:footnote w:type="continuationSeparator" w:id="0">
    <w:p w14:paraId="482E980B" w14:textId="77777777" w:rsidR="006E35D3" w:rsidRDefault="006E35D3" w:rsidP="00EB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981"/>
    <w:multiLevelType w:val="hybridMultilevel"/>
    <w:tmpl w:val="1F1262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05D4C"/>
    <w:multiLevelType w:val="multilevel"/>
    <w:tmpl w:val="E0D03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5184414">
    <w:abstractNumId w:val="1"/>
  </w:num>
  <w:num w:numId="2" w16cid:durableId="7185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movePersonalInformation/>
  <w:removeDateAndTime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CA"/>
    <w:rsid w:val="00006B3F"/>
    <w:rsid w:val="00006F7D"/>
    <w:rsid w:val="00013EA0"/>
    <w:rsid w:val="00015698"/>
    <w:rsid w:val="00015E09"/>
    <w:rsid w:val="000329B4"/>
    <w:rsid w:val="00033EBE"/>
    <w:rsid w:val="000440AD"/>
    <w:rsid w:val="000651CD"/>
    <w:rsid w:val="000B4A20"/>
    <w:rsid w:val="000C07D6"/>
    <w:rsid w:val="000C474E"/>
    <w:rsid w:val="000E6CE2"/>
    <w:rsid w:val="000E76F1"/>
    <w:rsid w:val="00156E07"/>
    <w:rsid w:val="0016293B"/>
    <w:rsid w:val="00162DFC"/>
    <w:rsid w:val="00166D22"/>
    <w:rsid w:val="001673AF"/>
    <w:rsid w:val="00170778"/>
    <w:rsid w:val="00186D7E"/>
    <w:rsid w:val="00190841"/>
    <w:rsid w:val="001A0D26"/>
    <w:rsid w:val="001C0385"/>
    <w:rsid w:val="001D3842"/>
    <w:rsid w:val="001E0D97"/>
    <w:rsid w:val="001F2EEA"/>
    <w:rsid w:val="001F39FC"/>
    <w:rsid w:val="00210345"/>
    <w:rsid w:val="0021492C"/>
    <w:rsid w:val="00220D72"/>
    <w:rsid w:val="00234C9E"/>
    <w:rsid w:val="00236E6E"/>
    <w:rsid w:val="002553FC"/>
    <w:rsid w:val="002652B9"/>
    <w:rsid w:val="00277662"/>
    <w:rsid w:val="002809E2"/>
    <w:rsid w:val="00286136"/>
    <w:rsid w:val="002B2933"/>
    <w:rsid w:val="002B70AB"/>
    <w:rsid w:val="002D6006"/>
    <w:rsid w:val="002F03E2"/>
    <w:rsid w:val="0031348E"/>
    <w:rsid w:val="00315419"/>
    <w:rsid w:val="003460F7"/>
    <w:rsid w:val="0035331F"/>
    <w:rsid w:val="00360F8F"/>
    <w:rsid w:val="00366BE7"/>
    <w:rsid w:val="00387191"/>
    <w:rsid w:val="00397F47"/>
    <w:rsid w:val="003C1BBF"/>
    <w:rsid w:val="003D030D"/>
    <w:rsid w:val="003D115E"/>
    <w:rsid w:val="003D18F4"/>
    <w:rsid w:val="003D3CBF"/>
    <w:rsid w:val="003D3E96"/>
    <w:rsid w:val="003F393D"/>
    <w:rsid w:val="00432276"/>
    <w:rsid w:val="004455CB"/>
    <w:rsid w:val="00450534"/>
    <w:rsid w:val="00454680"/>
    <w:rsid w:val="004715F8"/>
    <w:rsid w:val="004A27E0"/>
    <w:rsid w:val="004D1B2C"/>
    <w:rsid w:val="00504854"/>
    <w:rsid w:val="005218B5"/>
    <w:rsid w:val="00525E2E"/>
    <w:rsid w:val="005266B9"/>
    <w:rsid w:val="005309D8"/>
    <w:rsid w:val="00533622"/>
    <w:rsid w:val="00556D98"/>
    <w:rsid w:val="00590340"/>
    <w:rsid w:val="00591B24"/>
    <w:rsid w:val="005A70F3"/>
    <w:rsid w:val="005F6791"/>
    <w:rsid w:val="00602E4B"/>
    <w:rsid w:val="006247A6"/>
    <w:rsid w:val="006318F9"/>
    <w:rsid w:val="00664ECE"/>
    <w:rsid w:val="006823E8"/>
    <w:rsid w:val="006855C7"/>
    <w:rsid w:val="006B0765"/>
    <w:rsid w:val="006B79E0"/>
    <w:rsid w:val="006D5AEB"/>
    <w:rsid w:val="006E35D3"/>
    <w:rsid w:val="006F463F"/>
    <w:rsid w:val="0073013F"/>
    <w:rsid w:val="00730761"/>
    <w:rsid w:val="00735138"/>
    <w:rsid w:val="00744776"/>
    <w:rsid w:val="00764BFD"/>
    <w:rsid w:val="00783EEE"/>
    <w:rsid w:val="007A77D3"/>
    <w:rsid w:val="007C41D1"/>
    <w:rsid w:val="007C525C"/>
    <w:rsid w:val="007E372A"/>
    <w:rsid w:val="007E7C38"/>
    <w:rsid w:val="00833969"/>
    <w:rsid w:val="00851405"/>
    <w:rsid w:val="0087095D"/>
    <w:rsid w:val="008907B6"/>
    <w:rsid w:val="00893C57"/>
    <w:rsid w:val="008948AD"/>
    <w:rsid w:val="008975E4"/>
    <w:rsid w:val="008A3313"/>
    <w:rsid w:val="008C1B46"/>
    <w:rsid w:val="008C1D8E"/>
    <w:rsid w:val="008C29A5"/>
    <w:rsid w:val="008D27B7"/>
    <w:rsid w:val="008E79FB"/>
    <w:rsid w:val="008F29E0"/>
    <w:rsid w:val="00900258"/>
    <w:rsid w:val="00935C2E"/>
    <w:rsid w:val="009679F5"/>
    <w:rsid w:val="0098211A"/>
    <w:rsid w:val="00984062"/>
    <w:rsid w:val="009A612F"/>
    <w:rsid w:val="009B5434"/>
    <w:rsid w:val="009C0CAB"/>
    <w:rsid w:val="009C3D35"/>
    <w:rsid w:val="009C769B"/>
    <w:rsid w:val="009F7607"/>
    <w:rsid w:val="00A15327"/>
    <w:rsid w:val="00A27433"/>
    <w:rsid w:val="00A32E75"/>
    <w:rsid w:val="00A371AC"/>
    <w:rsid w:val="00A4567E"/>
    <w:rsid w:val="00A53C31"/>
    <w:rsid w:val="00A75C31"/>
    <w:rsid w:val="00A776CA"/>
    <w:rsid w:val="00A92195"/>
    <w:rsid w:val="00AB06CA"/>
    <w:rsid w:val="00AC15F0"/>
    <w:rsid w:val="00AD0CBD"/>
    <w:rsid w:val="00B227AC"/>
    <w:rsid w:val="00B2628F"/>
    <w:rsid w:val="00B269E4"/>
    <w:rsid w:val="00B461FA"/>
    <w:rsid w:val="00B5176F"/>
    <w:rsid w:val="00B52386"/>
    <w:rsid w:val="00B57351"/>
    <w:rsid w:val="00B6613E"/>
    <w:rsid w:val="00B74E7A"/>
    <w:rsid w:val="00BA530B"/>
    <w:rsid w:val="00BD066A"/>
    <w:rsid w:val="00BD29AD"/>
    <w:rsid w:val="00BE471E"/>
    <w:rsid w:val="00BF1424"/>
    <w:rsid w:val="00C00194"/>
    <w:rsid w:val="00C1014D"/>
    <w:rsid w:val="00C21519"/>
    <w:rsid w:val="00C30267"/>
    <w:rsid w:val="00C47B24"/>
    <w:rsid w:val="00C6098C"/>
    <w:rsid w:val="00C76776"/>
    <w:rsid w:val="00CB047B"/>
    <w:rsid w:val="00CB04A2"/>
    <w:rsid w:val="00CB439E"/>
    <w:rsid w:val="00CB7A49"/>
    <w:rsid w:val="00CB7C0E"/>
    <w:rsid w:val="00CD1CFE"/>
    <w:rsid w:val="00CF391B"/>
    <w:rsid w:val="00CF4C58"/>
    <w:rsid w:val="00D20C69"/>
    <w:rsid w:val="00D323FA"/>
    <w:rsid w:val="00D4333E"/>
    <w:rsid w:val="00D43F1B"/>
    <w:rsid w:val="00D5262C"/>
    <w:rsid w:val="00D56183"/>
    <w:rsid w:val="00D910BD"/>
    <w:rsid w:val="00D97F84"/>
    <w:rsid w:val="00DA6F51"/>
    <w:rsid w:val="00DB4700"/>
    <w:rsid w:val="00DC6366"/>
    <w:rsid w:val="00E022D2"/>
    <w:rsid w:val="00E112C2"/>
    <w:rsid w:val="00E11B66"/>
    <w:rsid w:val="00E40C30"/>
    <w:rsid w:val="00E43BA8"/>
    <w:rsid w:val="00E47FCB"/>
    <w:rsid w:val="00E52F81"/>
    <w:rsid w:val="00E73627"/>
    <w:rsid w:val="00E759F7"/>
    <w:rsid w:val="00E80F92"/>
    <w:rsid w:val="00E90537"/>
    <w:rsid w:val="00EB104E"/>
    <w:rsid w:val="00EB6C34"/>
    <w:rsid w:val="00ED404F"/>
    <w:rsid w:val="00EE2527"/>
    <w:rsid w:val="00EE3D1F"/>
    <w:rsid w:val="00EE515A"/>
    <w:rsid w:val="00F16F04"/>
    <w:rsid w:val="00F7101F"/>
    <w:rsid w:val="00F91BE8"/>
    <w:rsid w:val="00F95ACC"/>
    <w:rsid w:val="00FB33BD"/>
    <w:rsid w:val="00FC082D"/>
    <w:rsid w:val="00FC3EB6"/>
    <w:rsid w:val="00FD29A6"/>
    <w:rsid w:val="00FE1EBE"/>
    <w:rsid w:val="00FF4DF3"/>
    <w:rsid w:val="02FC475F"/>
    <w:rsid w:val="4B2BD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C1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0345"/>
    <w:pPr>
      <w:keepNext/>
      <w:keepLines/>
      <w:spacing w:before="40" w:after="0" w:line="253" w:lineRule="auto"/>
      <w:outlineLvl w:val="1"/>
    </w:pPr>
    <w:rPr>
      <w:rFonts w:ascii="Calibri Light" w:eastAsia="SimSun" w:hAnsi="Calibri Light" w:cs="SimSun"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06CA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57351"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0345"/>
    <w:rPr>
      <w:rFonts w:ascii="Calibri Light" w:eastAsia="SimSun" w:hAnsi="Calibri Light" w:cs="SimSun"/>
      <w:color w:val="2F5496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EE3D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6D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C34"/>
  </w:style>
  <w:style w:type="paragraph" w:styleId="Pidipagina">
    <w:name w:val="footer"/>
    <w:basedOn w:val="Normale"/>
    <w:link w:val="PidipaginaCarattere"/>
    <w:uiPriority w:val="99"/>
    <w:unhideWhenUsed/>
    <w:rsid w:val="00EB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2022-12-23T14:46:00Z</dcterms:created>
  <dcterms:modified xsi:type="dcterms:W3CDTF">2022-12-23T14:46:00Z</dcterms:modified>
</cp:coreProperties>
</file>